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4578">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sz w:val="32"/>
          <w:szCs w:val="32"/>
          <w:lang w:val="en-US" w:eastAsia="zh-CN"/>
          <w14:ligatures w14:val="none"/>
        </w:rPr>
      </w:pPr>
      <w:r>
        <w:rPr>
          <w:rFonts w:hint="eastAsia" w:ascii="黑体" w:hAnsi="黑体" w:eastAsia="黑体" w:cs="黑体"/>
          <w:sz w:val="32"/>
          <w:szCs w:val="32"/>
          <w:lang w:val="en-US" w:eastAsia="zh-CN"/>
          <w14:ligatures w14:val="none"/>
        </w:rPr>
        <w:t>附件</w:t>
      </w:r>
    </w:p>
    <w:p w14:paraId="6FB705F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ascii="Times New Roman" w:hAnsi="Times New Roman" w:eastAsia="楷体" w:cs="楷体"/>
          <w:sz w:val="32"/>
          <w:szCs w:val="32"/>
          <w14:ligatures w14:val="none"/>
        </w:rPr>
      </w:pPr>
      <w:r>
        <w:rPr>
          <w:rFonts w:hint="eastAsia" w:ascii="Times New Roman" w:hAnsi="Times New Roman" w:eastAsia="方正小标宋简体" w:cs="方正小标宋简体"/>
          <w:sz w:val="44"/>
          <w:szCs w:val="44"/>
          <w14:ligatures w14:val="none"/>
        </w:rPr>
        <w:t>吉林省公共数据资源登记管理实施细则</w:t>
      </w:r>
      <w:r>
        <w:rPr>
          <w:rFonts w:hint="eastAsia" w:ascii="Times New Roman" w:hAnsi="Times New Roman" w:eastAsia="方正小标宋简体" w:cs="方正小标宋简体"/>
          <w:sz w:val="44"/>
          <w:szCs w:val="44"/>
          <w:lang w:eastAsia="zh-CN"/>
          <w14:ligatures w14:val="none"/>
        </w:rPr>
        <w:t>（</w:t>
      </w:r>
      <w:r>
        <w:rPr>
          <w:rFonts w:hint="eastAsia" w:ascii="Times New Roman" w:hAnsi="Times New Roman" w:eastAsia="方正小标宋简体" w:cs="方正小标宋简体"/>
          <w:sz w:val="44"/>
          <w:szCs w:val="44"/>
          <w:lang w:val="en-US" w:eastAsia="zh-CN"/>
          <w14:ligatures w14:val="none"/>
        </w:rPr>
        <w:t>试行</w:t>
      </w:r>
      <w:r>
        <w:rPr>
          <w:rFonts w:hint="eastAsia" w:ascii="Times New Roman" w:hAnsi="Times New Roman" w:eastAsia="方正小标宋简体" w:cs="方正小标宋简体"/>
          <w:sz w:val="44"/>
          <w:szCs w:val="44"/>
          <w:lang w:eastAsia="zh-CN"/>
          <w14:ligatures w14:val="none"/>
        </w:rPr>
        <w:t>）</w:t>
      </w:r>
    </w:p>
    <w:p w14:paraId="4FEB15A9">
      <w:pPr>
        <w:pStyle w:val="13"/>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textAlignment w:val="auto"/>
        <w:rPr>
          <w:rFonts w:ascii="Times New Roman" w:hAnsi="Times New Roman" w:eastAsia="仿宋_GB2312" w:cs="Times New Roman"/>
          <w:sz w:val="32"/>
          <w:szCs w:val="32"/>
        </w:rPr>
      </w:pPr>
      <w:r>
        <w:rPr>
          <w:rFonts w:hint="eastAsia" w:ascii="Times New Roman" w:hAnsi="Times New Roman" w:cstheme="minorBidi"/>
          <w:b w:val="0"/>
          <w:bCs w:val="0"/>
          <w:spacing w:val="160"/>
          <w:kern w:val="0"/>
          <w:fitText w:val="960" w:id="164587263"/>
        </w:rPr>
        <w:t>总</w:t>
      </w:r>
      <w:r>
        <w:rPr>
          <w:rFonts w:hint="eastAsia" w:ascii="Times New Roman" w:hAnsi="Times New Roman" w:cstheme="minorBidi"/>
          <w:b w:val="0"/>
          <w:bCs w:val="0"/>
          <w:spacing w:val="0"/>
          <w:kern w:val="0"/>
          <w:fitText w:val="960" w:id="164587263"/>
        </w:rPr>
        <w:t>则</w:t>
      </w:r>
    </w:p>
    <w:p w14:paraId="721243B0">
      <w:pPr>
        <w:pStyle w:val="12"/>
        <w:keepNext w:val="0"/>
        <w:keepLines w:val="0"/>
        <w:pageBreakBefore w:val="0"/>
        <w:tabs>
          <w:tab w:val="left" w:pos="8080"/>
        </w:tabs>
        <w:kinsoku/>
        <w:wordWrap/>
        <w:overflowPunct w:val="0"/>
        <w:topLinePunct w:val="0"/>
        <w:bidi w:val="0"/>
        <w:adjustRightInd/>
        <w:snapToGrid/>
        <w:spacing w:after="0" w:line="560" w:lineRule="exact"/>
        <w:ind w:left="0" w:firstLine="622" w:firstLineChars="200"/>
        <w:textAlignment w:val="auto"/>
        <w:rPr>
          <w:rFonts w:ascii="Times New Roman" w:hAnsi="Times New Roman" w:eastAsia="方正仿宋_GB2312" w:cs="方正仿宋_GB2312"/>
        </w:rPr>
      </w:pPr>
      <w:r>
        <w:rPr>
          <w:rFonts w:hint="eastAsia" w:ascii="Times New Roman" w:hAnsi="Times New Roman" w:cs="Times New Roman"/>
          <w:lang w:eastAsia="zh-CN"/>
        </w:rPr>
        <w:t>为促进公共数据资源合规高效开发利用，规范吉林省公共数据资源登记工作，根据《中华人民共和国网络安全法》《中华人民共和国数据安全法》《中华人民共和国个人信息保护法》等法律法规，按照《中共中央办公厅</w:t>
      </w:r>
      <w:r>
        <w:rPr>
          <w:rFonts w:hint="eastAsia" w:ascii="Times New Roman" w:hAnsi="Times New Roman" w:cs="Times New Roman"/>
          <w:lang w:val="en-US" w:eastAsia="zh-CN"/>
        </w:rPr>
        <w:t xml:space="preserve"> </w:t>
      </w:r>
      <w:r>
        <w:rPr>
          <w:rFonts w:hint="eastAsia" w:ascii="Times New Roman" w:hAnsi="Times New Roman" w:cs="Times New Roman"/>
          <w:lang w:eastAsia="zh-CN"/>
        </w:rPr>
        <w:t>国务院办公厅关于加快公共数据资源开发利用的意见》《</w:t>
      </w:r>
      <w:r>
        <w:rPr>
          <w:rFonts w:hint="eastAsia" w:ascii="Times New Roman" w:hAnsi="Times New Roman" w:cs="Times New Roman"/>
          <w:lang w:val="en-US" w:eastAsia="zh-CN"/>
        </w:rPr>
        <w:t>国家发展改革委 国家数据局关于印发〈公共数据资源登记管理暂行办法〉的通知》等</w:t>
      </w:r>
      <w:r>
        <w:rPr>
          <w:rFonts w:hint="eastAsia" w:ascii="Times New Roman" w:hAnsi="Times New Roman" w:cs="Times New Roman"/>
          <w:lang w:eastAsia="zh-CN"/>
        </w:rPr>
        <w:t>要求，结合本省实际，制定本细则。</w:t>
      </w:r>
    </w:p>
    <w:p w14:paraId="1B4322AE">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在吉林省行政区域内开展公共数据资源的登记活动及其监督管理，适用本细则。</w:t>
      </w:r>
    </w:p>
    <w:p w14:paraId="527510D8">
      <w:pPr>
        <w:pStyle w:val="12"/>
        <w:keepNext w:val="0"/>
        <w:keepLines w:val="0"/>
        <w:pageBreakBefore w:val="0"/>
        <w:kinsoku/>
        <w:wordWrap/>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省数据管理部门确定省级登记机构，市级数据管理部门</w:t>
      </w:r>
      <w:r>
        <w:rPr>
          <w:rFonts w:hint="eastAsia" w:ascii="Times New Roman" w:hAnsi="Times New Roman" w:cs="Times New Roman"/>
          <w:color w:val="000000" w:themeColor="text1"/>
          <w14:textFill>
            <w14:solidFill>
              <w14:schemeClr w14:val="tx1"/>
            </w14:solidFill>
          </w14:textFill>
        </w:rPr>
        <w:t>（长白山管委会等地区参照执行，下同）</w:t>
      </w:r>
      <w:r>
        <w:rPr>
          <w:rFonts w:ascii="Times New Roman" w:hAnsi="Times New Roman" w:cs="Times New Roman"/>
          <w:color w:val="000000" w:themeColor="text1"/>
          <w14:textFill>
            <w14:solidFill>
              <w14:schemeClr w14:val="tx1"/>
            </w14:solidFill>
          </w14:textFill>
        </w:rPr>
        <w:t>确定市级登记机构，报省数据管理部门备案。</w:t>
      </w:r>
      <w:r>
        <w:rPr>
          <w:rFonts w:hint="eastAsia" w:ascii="Times New Roman" w:hAnsi="Times New Roman" w:cs="Times New Roman"/>
          <w:color w:val="000000" w:themeColor="text1"/>
          <w:lang w:val="en-US" w:eastAsia="zh-CN"/>
          <w14:textFill>
            <w14:solidFill>
              <w14:schemeClr w14:val="tx1"/>
            </w14:solidFill>
          </w14:textFill>
        </w:rPr>
        <w:t>市以下原则上不再设立登记机构，如有必要，可由上级登记机构通过派驻服务点等方式提供服务。</w:t>
      </w:r>
    </w:p>
    <w:p w14:paraId="4E820C7A">
      <w:pPr>
        <w:pStyle w:val="11"/>
        <w:keepNext w:val="0"/>
        <w:keepLines w:val="0"/>
        <w:pageBreakBefore w:val="0"/>
        <w:kinsoku/>
        <w:wordWrap/>
        <w:topLinePunct w:val="0"/>
        <w:autoSpaceDN w:val="0"/>
        <w:bidi w:val="0"/>
        <w:adjustRightInd/>
        <w:snapToGrid/>
        <w:spacing w:after="0" w:line="560" w:lineRule="exact"/>
        <w:ind w:firstLine="613"/>
        <w:textAlignment w:val="auto"/>
        <w:rPr>
          <w:rFonts w:ascii="Times New Roman" w:hAnsi="Times New Roman" w:eastAsia="仿宋_GB2312" w:cs="Times New Roman"/>
          <w:sz w:val="32"/>
          <w:szCs w:val="32"/>
        </w:rPr>
      </w:pPr>
      <w:r>
        <w:rPr>
          <w:rFonts w:ascii="Times New Roman" w:hAnsi="Times New Roman" w:cs="Times New Roman"/>
          <w:color w:val="000000" w:themeColor="text1"/>
          <w14:textFill>
            <w14:solidFill>
              <w14:schemeClr w14:val="tx1"/>
            </w14:solidFill>
          </w14:textFill>
        </w:rPr>
        <w:t>省直机关及其直属机构、省属企事业单位</w:t>
      </w:r>
      <w:r>
        <w:rPr>
          <w:rFonts w:hint="eastAsia" w:ascii="Times New Roman" w:hAnsi="Times New Roman" w:cs="Times New Roman"/>
          <w:color w:val="000000" w:themeColor="text1"/>
          <w:lang w:val="en-US" w:eastAsia="zh-CN"/>
          <w14:textFill>
            <w14:solidFill>
              <w14:schemeClr w14:val="tx1"/>
            </w14:solidFill>
          </w14:textFill>
        </w:rPr>
        <w:t>等有关单位</w:t>
      </w:r>
      <w:r>
        <w:rPr>
          <w:rFonts w:ascii="Times New Roman" w:hAnsi="Times New Roman" w:cs="Times New Roman"/>
          <w:color w:val="000000" w:themeColor="text1"/>
          <w14:textFill>
            <w14:solidFill>
              <w14:schemeClr w14:val="tx1"/>
            </w14:solidFill>
          </w14:textFill>
        </w:rPr>
        <w:t>的公共数据资源登记，由省级登记机构负责办理。市级登记机构面向本辖区登记主体提供公共数据资源登记服务。</w:t>
      </w:r>
    </w:p>
    <w:p w14:paraId="7B78268B">
      <w:pPr>
        <w:pStyle w:val="13"/>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textAlignment w:val="auto"/>
        <w:rPr>
          <w:rFonts w:hint="eastAsia" w:cs="黑体"/>
          <w:b w:val="0"/>
          <w:bCs w:val="0"/>
        </w:rPr>
      </w:pPr>
      <w:r>
        <w:rPr>
          <w:rFonts w:hint="eastAsia" w:cs="黑体"/>
          <w:b w:val="0"/>
          <w:bCs w:val="0"/>
          <w:lang w:val="en-US" w:eastAsia="zh-CN"/>
        </w:rPr>
        <w:t>登记</w:t>
      </w:r>
      <w:r>
        <w:rPr>
          <w:rFonts w:hint="eastAsia" w:cs="黑体"/>
          <w:b w:val="0"/>
          <w:bCs w:val="0"/>
        </w:rPr>
        <w:t>要求</w:t>
      </w:r>
    </w:p>
    <w:p w14:paraId="21703A97">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直接持有或管理公共数据资源的</w:t>
      </w:r>
      <w:r>
        <w:rPr>
          <w:rFonts w:hint="eastAsia" w:ascii="Times New Roman" w:hAnsi="Times New Roman" w:cs="Times New Roman"/>
          <w:color w:val="000000" w:themeColor="text1"/>
          <w:lang w:val="en-US" w:eastAsia="zh-CN"/>
          <w14:textFill>
            <w14:solidFill>
              <w14:schemeClr w14:val="tx1"/>
            </w14:solidFill>
          </w14:textFill>
        </w:rPr>
        <w:t>有</w:t>
      </w:r>
      <w:r>
        <w:rPr>
          <w:rFonts w:ascii="Times New Roman" w:hAnsi="Times New Roman" w:cs="Times New Roman"/>
          <w:color w:val="000000" w:themeColor="text1"/>
          <w14:textFill>
            <w14:solidFill>
              <w14:schemeClr w14:val="tx1"/>
            </w14:solidFill>
          </w14:textFill>
        </w:rPr>
        <w:t>关单位，应及时、完整、准确</w:t>
      </w:r>
      <w:r>
        <w:rPr>
          <w:rFonts w:hint="eastAsia" w:ascii="Times New Roman" w:hAnsi="Times New Roman" w:cs="Times New Roman"/>
          <w:color w:val="000000" w:themeColor="text1"/>
          <w:lang w:val="en-US" w:eastAsia="zh-CN"/>
          <w14:textFill>
            <w14:solidFill>
              <w14:schemeClr w14:val="tx1"/>
            </w14:solidFill>
          </w14:textFill>
        </w:rPr>
        <w:t>对</w:t>
      </w:r>
      <w:r>
        <w:rPr>
          <w:rFonts w:ascii="Times New Roman" w:hAnsi="Times New Roman" w:cs="Times New Roman"/>
          <w:color w:val="000000" w:themeColor="text1"/>
          <w14:textFill>
            <w14:solidFill>
              <w14:schemeClr w14:val="tx1"/>
            </w14:solidFill>
          </w14:textFill>
        </w:rPr>
        <w:t>纳入授权运营范围的公共数据资源进行登记</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鼓励对未纳入授权运营范围的公共数据资源进行登记。</w:t>
      </w:r>
    </w:p>
    <w:p w14:paraId="78F7C4C8">
      <w:pPr>
        <w:pStyle w:val="11"/>
        <w:keepNext w:val="0"/>
        <w:keepLines w:val="0"/>
        <w:pageBreakBefore w:val="0"/>
        <w:kinsoku/>
        <w:wordWrap/>
        <w:topLinePunct w:val="0"/>
        <w:bidi w:val="0"/>
        <w:adjustRightInd/>
        <w:snapToGrid/>
        <w:spacing w:after="0" w:line="560" w:lineRule="exact"/>
        <w:ind w:firstLine="613"/>
        <w:textAlignment w:val="auto"/>
        <w:rPr>
          <w:rFonts w:hint="eastAsia"/>
          <w:color w:val="000000" w:themeColor="text1"/>
          <w14:textFill>
            <w14:solidFill>
              <w14:schemeClr w14:val="tx1"/>
            </w14:solidFill>
          </w14:textFill>
        </w:rPr>
      </w:pPr>
      <w:r>
        <w:rPr>
          <w:color w:val="000000" w:themeColor="text1"/>
          <w14:textFill>
            <w14:solidFill>
              <w14:schemeClr w14:val="tx1"/>
            </w14:solidFill>
          </w14:textFill>
        </w:rPr>
        <w:t>经授权开展运营活动的法人组织，应对利用被授权的公共数据资源加工形成的数据产品和服务进行登记。</w:t>
      </w:r>
    </w:p>
    <w:p w14:paraId="4C810582">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登记机构应当履行下列职责与义务：</w:t>
      </w:r>
    </w:p>
    <w:p w14:paraId="0CBD24DF">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实施公共数据资源登记，执行全国统一的登记管理政策文件和规范要求，按照行政层级和属地原则提供规范化、标准化、便利化登记服务，制定并执行登记办理、异议处理、续展、登记结果管理等业务规则；</w:t>
      </w:r>
    </w:p>
    <w:p w14:paraId="4F3C2DEB">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（二）向社会公开</w:t>
      </w:r>
      <w:r>
        <w:rPr>
          <w:rFonts w:hint="eastAsia" w:ascii="Times New Roman" w:hAnsi="Times New Roman" w:cs="Times New Roman"/>
          <w:color w:val="000000" w:themeColor="text1"/>
          <w14:textFill>
            <w14:solidFill>
              <w14:schemeClr w14:val="tx1"/>
            </w14:solidFill>
          </w14:textFill>
        </w:rPr>
        <w:t>申请</w:t>
      </w:r>
      <w:r>
        <w:rPr>
          <w:rFonts w:ascii="Times New Roman" w:hAnsi="Times New Roman" w:cs="Times New Roman"/>
          <w:color w:val="000000" w:themeColor="text1"/>
          <w14:textFill>
            <w14:solidFill>
              <w14:schemeClr w14:val="tx1"/>
            </w14:solidFill>
          </w14:textFill>
        </w:rPr>
        <w:t>材料清单和文书格式样本；</w:t>
      </w:r>
    </w:p>
    <w:p w14:paraId="52BA5EF8">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（三）提供公共数据资源登记申请、受理、形式审核、公示、登记结果发放等服务；</w:t>
      </w:r>
    </w:p>
    <w:p w14:paraId="52DA3EB0">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（四）提供与公共数据资源登记业务有关的政策解读、登记结果查询、咨询服务和培训服务等；</w:t>
      </w:r>
    </w:p>
    <w:p w14:paraId="19A3C3AD">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（五）处置公共数据资源登记的异议问题；</w:t>
      </w:r>
    </w:p>
    <w:p w14:paraId="3A96803E">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（六）建立健全数据资源登记管理责任机制，履行数据安全保护义务，强化数据安全保护技术应用，妥善保管登记信息；</w:t>
      </w:r>
    </w:p>
    <w:p w14:paraId="3AC28D6F">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七</w:t>
      </w:r>
      <w:r>
        <w:rPr>
          <w:rFonts w:ascii="Times New Roman" w:hAnsi="Times New Roman" w:cs="Times New Roman"/>
          <w:color w:val="000000" w:themeColor="text1"/>
          <w14:textFill>
            <w14:solidFill>
              <w14:schemeClr w14:val="tx1"/>
            </w14:solidFill>
          </w14:textFill>
        </w:rPr>
        <w:t>）对有关部门依据法律法规开展公共数据资源登记监督检查予以配合，协助调查和处置；</w:t>
      </w:r>
    </w:p>
    <w:p w14:paraId="54B8BD08">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八</w:t>
      </w:r>
      <w:r>
        <w:rPr>
          <w:rFonts w:ascii="Times New Roman" w:hAnsi="Times New Roman" w:cs="Times New Roman"/>
          <w:color w:val="000000" w:themeColor="text1"/>
          <w14:textFill>
            <w14:solidFill>
              <w14:schemeClr w14:val="tx1"/>
            </w14:solidFill>
          </w14:textFill>
        </w:rPr>
        <w:t>）定期向本级数据管理部门报告公共数据资源登记工作开展情况</w:t>
      </w:r>
      <w:r>
        <w:rPr>
          <w:rFonts w:hint="eastAsia" w:ascii="Times New Roman" w:hAnsi="Times New Roman" w:cs="Times New Roman"/>
          <w:color w:val="000000" w:themeColor="text1"/>
          <w:lang w:val="en-US" w:eastAsia="zh-CN"/>
          <w14:textFill>
            <w14:solidFill>
              <w14:schemeClr w14:val="tx1"/>
            </w14:solidFill>
          </w14:textFill>
        </w:rPr>
        <w:t>和数据安全保护义务履行情况</w:t>
      </w:r>
      <w:r>
        <w:rPr>
          <w:rFonts w:ascii="Times New Roman" w:hAnsi="Times New Roman" w:cs="Times New Roman"/>
          <w:color w:val="000000" w:themeColor="text1"/>
          <w14:textFill>
            <w14:solidFill>
              <w14:schemeClr w14:val="tx1"/>
            </w14:solidFill>
          </w14:textFill>
        </w:rPr>
        <w:t>，并接受</w:t>
      </w:r>
      <w:r>
        <w:rPr>
          <w:rFonts w:hint="eastAsia" w:ascii="Times New Roman" w:hAnsi="Times New Roman" w:cs="Times New Roman"/>
          <w:color w:val="000000" w:themeColor="text1"/>
          <w:lang w:val="en-US" w:eastAsia="zh-CN"/>
          <w14:textFill>
            <w14:solidFill>
              <w14:schemeClr w14:val="tx1"/>
            </w14:solidFill>
          </w14:textFill>
        </w:rPr>
        <w:t>本</w:t>
      </w:r>
      <w:r>
        <w:rPr>
          <w:rFonts w:ascii="Times New Roman" w:hAnsi="Times New Roman" w:cs="Times New Roman"/>
          <w:color w:val="000000" w:themeColor="text1"/>
          <w14:textFill>
            <w14:solidFill>
              <w14:schemeClr w14:val="tx1"/>
            </w14:solidFill>
          </w14:textFill>
        </w:rPr>
        <w:t>级数据管理部门的监管和评价；</w:t>
      </w:r>
    </w:p>
    <w:p w14:paraId="4E38B05A">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九</w:t>
      </w:r>
      <w:r>
        <w:rPr>
          <w:rFonts w:ascii="Times New Roman" w:hAnsi="Times New Roman" w:cs="Times New Roman"/>
          <w:color w:val="000000" w:themeColor="text1"/>
          <w14:textFill>
            <w14:solidFill>
              <w14:schemeClr w14:val="tx1"/>
            </w14:solidFill>
          </w14:textFill>
        </w:rPr>
        <w:t>）落实公共数据资源登记其他工作要求。</w:t>
      </w:r>
    </w:p>
    <w:p w14:paraId="6FD23B5E">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登记主体应当履行下列义务：</w:t>
      </w:r>
    </w:p>
    <w:p w14:paraId="6F3C7AB5">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（一）</w:t>
      </w:r>
      <w:r>
        <w:rPr>
          <w:rFonts w:hint="eastAsia" w:ascii="Times New Roman" w:hAnsi="Times New Roman" w:cs="Times New Roman"/>
          <w:color w:val="000000" w:themeColor="text1"/>
          <w14:textFill>
            <w14:solidFill>
              <w14:schemeClr w14:val="tx1"/>
            </w14:solidFill>
          </w14:textFill>
        </w:rPr>
        <w:t>按照要求及时申请办理公共数据资源登记</w:t>
      </w:r>
      <w:r>
        <w:rPr>
          <w:rFonts w:ascii="Times New Roman" w:hAnsi="Times New Roman" w:cs="Times New Roman"/>
          <w:color w:val="000000" w:themeColor="text1"/>
          <w14:textFill>
            <w14:solidFill>
              <w14:schemeClr w14:val="tx1"/>
            </w14:solidFill>
          </w14:textFill>
        </w:rPr>
        <w:t>；</w:t>
      </w:r>
    </w:p>
    <w:p w14:paraId="7E3C71CE">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（二）按照要求如实准确提供登记信息和</w:t>
      </w:r>
      <w:r>
        <w:rPr>
          <w:rFonts w:hint="eastAsia" w:ascii="Times New Roman" w:hAnsi="Times New Roman" w:cs="Times New Roman"/>
          <w:color w:val="000000" w:themeColor="text1"/>
          <w14:textFill>
            <w14:solidFill>
              <w14:schemeClr w14:val="tx1"/>
            </w14:solidFill>
          </w14:textFill>
        </w:rPr>
        <w:t>申请</w:t>
      </w:r>
      <w:r>
        <w:rPr>
          <w:rFonts w:ascii="Times New Roman" w:hAnsi="Times New Roman" w:cs="Times New Roman"/>
          <w:color w:val="000000" w:themeColor="text1"/>
          <w14:textFill>
            <w14:solidFill>
              <w14:schemeClr w14:val="tx1"/>
            </w14:solidFill>
          </w14:textFill>
        </w:rPr>
        <w:t>材料，并对</w:t>
      </w:r>
      <w:r>
        <w:rPr>
          <w:rFonts w:hint="eastAsia" w:ascii="Times New Roman" w:hAnsi="Times New Roman" w:cs="Times New Roman"/>
        </w:rPr>
        <w:t>申请</w:t>
      </w:r>
      <w:r>
        <w:rPr>
          <w:rFonts w:ascii="Times New Roman" w:hAnsi="Times New Roman" w:cs="Times New Roman"/>
          <w:color w:val="000000" w:themeColor="text1"/>
          <w14:textFill>
            <w14:solidFill>
              <w14:schemeClr w14:val="tx1"/>
            </w14:solidFill>
          </w14:textFill>
        </w:rPr>
        <w:t>材料内容的真实性、完整性、合法性、有效性负责；</w:t>
      </w:r>
    </w:p>
    <w:p w14:paraId="6FE6D602">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（三）申请登记前应在保障安全的前提下对公共数据资源进行存证，确保来源可查、加工可控；</w:t>
      </w:r>
    </w:p>
    <w:p w14:paraId="05ACF368">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（四）确保登记的公共数据资源来源合法、内容合规、权属明晰；</w:t>
      </w:r>
    </w:p>
    <w:p w14:paraId="570286D1">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（五）协助登记机构对公共数据资源登记的异议问题进行核实，如实准确提供证据材料；</w:t>
      </w:r>
    </w:p>
    <w:p w14:paraId="16FAD5F2">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（六）</w:t>
      </w:r>
      <w:r>
        <w:rPr>
          <w:rFonts w:hint="eastAsia" w:ascii="Times New Roman" w:hAnsi="Times New Roman" w:cs="Times New Roman"/>
          <w:color w:val="000000" w:themeColor="text1"/>
          <w14:textFill>
            <w14:solidFill>
              <w14:schemeClr w14:val="tx1"/>
            </w14:solidFill>
          </w14:textFill>
        </w:rPr>
        <w:t>按照数据分类分级管理要求开展数据分类分级</w:t>
      </w:r>
      <w:r>
        <w:rPr>
          <w:rFonts w:ascii="Times New Roman" w:hAnsi="Times New Roman" w:cs="Times New Roman"/>
          <w:color w:val="000000" w:themeColor="text1"/>
          <w14:textFill>
            <w14:solidFill>
              <w14:schemeClr w14:val="tx1"/>
            </w14:solidFill>
          </w14:textFill>
        </w:rPr>
        <w:t>，强化数据源头治理和质量检查，提升数据质量；</w:t>
      </w:r>
    </w:p>
    <w:p w14:paraId="2FEE6C79">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（七）落实公共数据资源登记其他工作要求。</w:t>
      </w:r>
    </w:p>
    <w:p w14:paraId="0C8967C0">
      <w:pPr>
        <w:pStyle w:val="13"/>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textAlignment w:val="auto"/>
        <w:rPr>
          <w:rFonts w:hint="eastAsia" w:cs="黑体"/>
          <w:b w:val="0"/>
          <w:bCs w:val="0"/>
        </w:rPr>
      </w:pPr>
      <w:r>
        <w:rPr>
          <w:rFonts w:ascii="Times New Roman" w:hAnsi="Times New Roman" w:cs="Times New Roman"/>
          <w:b w:val="0"/>
          <w:bCs w:val="0"/>
          <w:color w:val="000000" w:themeColor="text1"/>
          <w14:textFill>
            <w14:solidFill>
              <w14:schemeClr w14:val="tx1"/>
            </w14:solidFill>
          </w14:textFill>
        </w:rPr>
        <w:t>登记</w:t>
      </w:r>
      <w:r>
        <w:rPr>
          <w:rFonts w:hint="eastAsia" w:ascii="Times New Roman" w:hAnsi="Times New Roman" w:cs="Times New Roman"/>
          <w:b w:val="0"/>
          <w:bCs w:val="0"/>
          <w:color w:val="000000" w:themeColor="text1"/>
          <w14:textFill>
            <w14:solidFill>
              <w14:schemeClr w14:val="tx1"/>
            </w14:solidFill>
          </w14:textFill>
        </w:rPr>
        <w:t>规范</w:t>
      </w:r>
    </w:p>
    <w:p w14:paraId="08F34496">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登记主体可以自行或指定代表人、委托代理人</w:t>
      </w:r>
      <w:r>
        <w:rPr>
          <w:rFonts w:hint="eastAsia" w:ascii="Times New Roman" w:hAnsi="Times New Roman" w:cs="Times New Roman"/>
          <w:color w:val="000000" w:themeColor="text1"/>
          <w:lang w:val="en-US" w:eastAsia="zh-CN"/>
          <w14:textFill>
            <w14:solidFill>
              <w14:schemeClr w14:val="tx1"/>
            </w14:solidFill>
          </w14:textFill>
        </w:rPr>
        <w:t>申请</w:t>
      </w:r>
      <w:r>
        <w:rPr>
          <w:rFonts w:ascii="Times New Roman" w:hAnsi="Times New Roman" w:cs="Times New Roman"/>
          <w:color w:val="000000" w:themeColor="text1"/>
          <w14:textFill>
            <w14:solidFill>
              <w14:schemeClr w14:val="tx1"/>
            </w14:solidFill>
          </w14:textFill>
        </w:rPr>
        <w:t>办理登记。涉及多个主体的，</w:t>
      </w:r>
      <w:bookmarkStart w:id="0" w:name="_Hlk212563795"/>
      <w:r>
        <w:rPr>
          <w:rFonts w:ascii="Times New Roman" w:hAnsi="Times New Roman" w:cs="Times New Roman"/>
          <w:color w:val="000000" w:themeColor="text1"/>
          <w14:textFill>
            <w14:solidFill>
              <w14:schemeClr w14:val="tx1"/>
            </w14:solidFill>
          </w14:textFill>
        </w:rPr>
        <w:t>可共同提出登记申请或协商一致后由单独主体提出登记申请，并将共有主体信息备案。</w:t>
      </w:r>
      <w:bookmarkEnd w:id="0"/>
    </w:p>
    <w:p w14:paraId="175A17CB">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申请人办理登记时，</w:t>
      </w:r>
      <w:r>
        <w:rPr>
          <w:rFonts w:ascii="Times New Roman" w:hAnsi="Times New Roman" w:cs="Times New Roman"/>
          <w:color w:val="000000" w:themeColor="text1"/>
          <w14:textFill>
            <w14:solidFill>
              <w14:schemeClr w14:val="tx1"/>
            </w14:solidFill>
          </w14:textFill>
        </w:rPr>
        <w:t>应</w:t>
      </w:r>
      <w:r>
        <w:rPr>
          <w:rFonts w:hint="eastAsia" w:ascii="Times New Roman" w:hAnsi="Times New Roman" w:cs="Times New Roman"/>
          <w:color w:val="000000" w:themeColor="text1"/>
          <w14:textFill>
            <w14:solidFill>
              <w14:schemeClr w14:val="tx1"/>
            </w14:solidFill>
          </w14:textFill>
        </w:rPr>
        <w:t>当按照登记申请类型提交符合规定的材料</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登记机构可根据具体情况，要求申请人提交其他必要材料。</w:t>
      </w:r>
    </w:p>
    <w:p w14:paraId="779AF346">
      <w:pPr>
        <w:pStyle w:val="15"/>
        <w:keepNext w:val="0"/>
        <w:keepLines w:val="0"/>
        <w:pageBreakBefore w:val="0"/>
        <w:kinsoku/>
        <w:wordWrap/>
        <w:overflowPunct w:val="0"/>
        <w:topLinePunct w:val="0"/>
        <w:autoSpaceDE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首次登记</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包含</w:t>
      </w:r>
      <w:r>
        <w:rPr>
          <w:rFonts w:hint="eastAsia" w:ascii="Times New Roman" w:hAnsi="Times New Roman" w:cs="Times New Roman"/>
          <w:color w:val="000000" w:themeColor="text1"/>
          <w:lang w:val="en-US" w:eastAsia="zh-CN"/>
          <w14:textFill>
            <w14:solidFill>
              <w14:schemeClr w14:val="tx1"/>
            </w14:solidFill>
          </w14:textFill>
        </w:rPr>
        <w:t>公共</w:t>
      </w:r>
      <w:r>
        <w:rPr>
          <w:rFonts w:ascii="Times New Roman" w:hAnsi="Times New Roman" w:cs="Times New Roman"/>
          <w:color w:val="000000" w:themeColor="text1"/>
          <w14:textFill>
            <w14:solidFill>
              <w14:schemeClr w14:val="tx1"/>
            </w14:solidFill>
          </w14:textFill>
        </w:rPr>
        <w:t>数据资源</w:t>
      </w:r>
      <w:r>
        <w:rPr>
          <w:rFonts w:hint="eastAsia" w:ascii="Times New Roman" w:hAnsi="Times New Roman" w:cs="Times New Roman"/>
          <w:color w:val="000000" w:themeColor="text1"/>
          <w14:textFill>
            <w14:solidFill>
              <w14:schemeClr w14:val="tx1"/>
            </w14:solidFill>
          </w14:textFill>
        </w:rPr>
        <w:t>首次</w:t>
      </w:r>
      <w:r>
        <w:rPr>
          <w:rFonts w:ascii="Times New Roman" w:hAnsi="Times New Roman" w:cs="Times New Roman"/>
          <w:color w:val="000000" w:themeColor="text1"/>
          <w14:textFill>
            <w14:solidFill>
              <w14:schemeClr w14:val="tx1"/>
            </w14:solidFill>
          </w14:textFill>
        </w:rPr>
        <w:t>登记</w:t>
      </w:r>
      <w:r>
        <w:rPr>
          <w:rFonts w:hint="eastAsia"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公共</w:t>
      </w:r>
      <w:r>
        <w:rPr>
          <w:rFonts w:ascii="Times New Roman" w:hAnsi="Times New Roman" w:cs="Times New Roman"/>
          <w:color w:val="000000" w:themeColor="text1"/>
          <w14:textFill>
            <w14:solidFill>
              <w14:schemeClr w14:val="tx1"/>
            </w14:solidFill>
          </w14:textFill>
        </w:rPr>
        <w:t>数据产品与服务</w:t>
      </w:r>
      <w:r>
        <w:rPr>
          <w:rFonts w:hint="eastAsia" w:ascii="Times New Roman" w:hAnsi="Times New Roman" w:cs="Times New Roman"/>
          <w:color w:val="000000" w:themeColor="text1"/>
          <w14:textFill>
            <w14:solidFill>
              <w14:schemeClr w14:val="tx1"/>
            </w14:solidFill>
          </w14:textFill>
        </w:rPr>
        <w:t>首次</w:t>
      </w:r>
      <w:r>
        <w:rPr>
          <w:rFonts w:ascii="Times New Roman" w:hAnsi="Times New Roman" w:cs="Times New Roman"/>
          <w:color w:val="000000" w:themeColor="text1"/>
          <w14:textFill>
            <w14:solidFill>
              <w14:schemeClr w14:val="tx1"/>
            </w14:solidFill>
          </w14:textFill>
        </w:rPr>
        <w:t>登记</w:t>
      </w:r>
      <w:r>
        <w:rPr>
          <w:rFonts w:hint="eastAsia" w:ascii="Times New Roman" w:hAnsi="Times New Roman" w:cs="Times New Roman"/>
          <w:color w:val="000000" w:themeColor="text1"/>
          <w14:textFill>
            <w14:solidFill>
              <w14:schemeClr w14:val="tx1"/>
            </w14:solidFill>
          </w14:textFill>
        </w:rPr>
        <w:t>。</w:t>
      </w:r>
    </w:p>
    <w:p w14:paraId="77680822">
      <w:pPr>
        <w:pStyle w:val="11"/>
        <w:keepNext w:val="0"/>
        <w:keepLines w:val="0"/>
        <w:pageBreakBefore w:val="0"/>
        <w:kinsoku/>
        <w:wordWrap/>
        <w:overflowPunct w:val="0"/>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申请办理</w:t>
      </w:r>
      <w:r>
        <w:rPr>
          <w:rFonts w:hint="eastAsia" w:ascii="Times New Roman" w:hAnsi="Times New Roman" w:cs="Times New Roman"/>
          <w:color w:val="000000" w:themeColor="text1"/>
          <w:lang w:val="en-US" w:eastAsia="zh-CN"/>
          <w14:textFill>
            <w14:solidFill>
              <w14:schemeClr w14:val="tx1"/>
            </w14:solidFill>
          </w14:textFill>
        </w:rPr>
        <w:t>公共</w:t>
      </w:r>
      <w:r>
        <w:rPr>
          <w:rFonts w:ascii="Times New Roman" w:hAnsi="Times New Roman" w:cs="Times New Roman"/>
          <w:color w:val="000000" w:themeColor="text1"/>
          <w14:textFill>
            <w14:solidFill>
              <w14:schemeClr w14:val="tx1"/>
            </w14:solidFill>
          </w14:textFill>
        </w:rPr>
        <w:t>数据资源首次登记，应当提交</w:t>
      </w:r>
      <w:r>
        <w:rPr>
          <w:rFonts w:hint="eastAsia" w:ascii="Times New Roman" w:hAnsi="Times New Roman" w:cs="Times New Roman"/>
          <w:color w:val="000000" w:themeColor="text1"/>
          <w:lang w:val="en-US" w:eastAsia="zh-CN"/>
          <w14:textFill>
            <w14:solidFill>
              <w14:schemeClr w14:val="tx1"/>
            </w14:solidFill>
          </w14:textFill>
        </w:rPr>
        <w:t>包括但不限于</w:t>
      </w:r>
      <w:r>
        <w:rPr>
          <w:rFonts w:hint="eastAsia" w:ascii="Times New Roman" w:hAnsi="Times New Roman" w:cs="Times New Roman"/>
          <w:color w:val="000000" w:themeColor="text1"/>
          <w14:textFill>
            <w14:solidFill>
              <w14:schemeClr w14:val="tx1"/>
            </w14:solidFill>
          </w14:textFill>
        </w:rPr>
        <w:t>下列材料</w:t>
      </w:r>
      <w:r>
        <w:rPr>
          <w:rFonts w:ascii="Times New Roman" w:hAnsi="Times New Roman" w:cs="Times New Roman"/>
          <w:color w:val="000000" w:themeColor="text1"/>
          <w14:textFill>
            <w14:solidFill>
              <w14:schemeClr w14:val="tx1"/>
            </w14:solidFill>
          </w14:textFill>
        </w:rPr>
        <w:t>：</w:t>
      </w:r>
    </w:p>
    <w:p w14:paraId="6E7826A1">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（1）</w:t>
      </w:r>
      <w:r>
        <w:rPr>
          <w:rFonts w:ascii="Times New Roman" w:hAnsi="Times New Roman" w:cs="Times New Roman"/>
          <w:color w:val="000000" w:themeColor="text1"/>
          <w14:textFill>
            <w14:solidFill>
              <w14:schemeClr w14:val="tx1"/>
            </w14:solidFill>
          </w14:textFill>
        </w:rPr>
        <w:t>数据合规性来源佐证或承诺</w:t>
      </w:r>
      <w:r>
        <w:rPr>
          <w:rFonts w:hint="eastAsia" w:ascii="Times New Roman" w:hAnsi="Times New Roman" w:cs="Times New Roman"/>
          <w:color w:val="000000" w:themeColor="text1"/>
          <w14:textFill>
            <w14:solidFill>
              <w14:schemeClr w14:val="tx1"/>
            </w14:solidFill>
          </w14:textFill>
        </w:rPr>
        <w:t>；</w:t>
      </w:r>
    </w:p>
    <w:p w14:paraId="271B866D">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（2）</w:t>
      </w:r>
      <w:r>
        <w:rPr>
          <w:rFonts w:ascii="Times New Roman" w:hAnsi="Times New Roman" w:cs="Times New Roman"/>
          <w:color w:val="000000" w:themeColor="text1"/>
          <w14:textFill>
            <w14:solidFill>
              <w14:schemeClr w14:val="tx1"/>
            </w14:solidFill>
          </w14:textFill>
        </w:rPr>
        <w:t>数据安全风险评估报告</w:t>
      </w:r>
      <w:r>
        <w:rPr>
          <w:rFonts w:hint="eastAsia" w:ascii="Times New Roman" w:hAnsi="Times New Roman" w:cs="Times New Roman"/>
          <w:color w:val="000000" w:themeColor="text1"/>
          <w14:textFill>
            <w14:solidFill>
              <w14:schemeClr w14:val="tx1"/>
            </w14:solidFill>
          </w14:textFill>
        </w:rPr>
        <w:t>；</w:t>
      </w:r>
    </w:p>
    <w:p w14:paraId="490E10F0">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（3）</w:t>
      </w:r>
      <w:r>
        <w:rPr>
          <w:rFonts w:ascii="Times New Roman" w:hAnsi="Times New Roman" w:cs="Times New Roman"/>
          <w:color w:val="000000" w:themeColor="text1"/>
          <w14:textFill>
            <w14:solidFill>
              <w14:schemeClr w14:val="tx1"/>
            </w14:solidFill>
          </w14:textFill>
        </w:rPr>
        <w:t>存证证明文件</w:t>
      </w:r>
      <w:r>
        <w:rPr>
          <w:rFonts w:hint="eastAsia" w:ascii="Times New Roman" w:hAnsi="Times New Roman" w:cs="Times New Roman"/>
          <w:color w:val="000000" w:themeColor="text1"/>
          <w14:textFill>
            <w14:solidFill>
              <w14:schemeClr w14:val="tx1"/>
            </w14:solidFill>
          </w14:textFill>
        </w:rPr>
        <w:t>；</w:t>
      </w:r>
    </w:p>
    <w:p w14:paraId="6E28D163">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（4）</w:t>
      </w:r>
      <w:r>
        <w:rPr>
          <w:rFonts w:ascii="Times New Roman" w:hAnsi="Times New Roman" w:cs="Times New Roman"/>
          <w:color w:val="000000" w:themeColor="text1"/>
          <w14:textFill>
            <w14:solidFill>
              <w14:schemeClr w14:val="tx1"/>
            </w14:solidFill>
          </w14:textFill>
        </w:rPr>
        <w:t>数据字段描述</w:t>
      </w:r>
      <w:r>
        <w:rPr>
          <w:rFonts w:hint="eastAsia" w:ascii="Times New Roman" w:hAnsi="Times New Roman" w:cs="Times New Roman"/>
          <w:color w:val="000000" w:themeColor="text1"/>
          <w14:textFill>
            <w14:solidFill>
              <w14:schemeClr w14:val="tx1"/>
            </w14:solidFill>
          </w14:textFill>
        </w:rPr>
        <w:t>；</w:t>
      </w:r>
    </w:p>
    <w:p w14:paraId="0E73BAE5">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（5）</w:t>
      </w:r>
      <w:r>
        <w:rPr>
          <w:rFonts w:ascii="Times New Roman" w:hAnsi="Times New Roman" w:cs="Times New Roman"/>
          <w:color w:val="000000" w:themeColor="text1"/>
          <w14:textFill>
            <w14:solidFill>
              <w14:schemeClr w14:val="tx1"/>
            </w14:solidFill>
          </w14:textFill>
        </w:rPr>
        <w:t>样例数据。</w:t>
      </w:r>
    </w:p>
    <w:p w14:paraId="200CF3E5">
      <w:pPr>
        <w:pStyle w:val="11"/>
        <w:keepNext w:val="0"/>
        <w:keepLines w:val="0"/>
        <w:pageBreakBefore w:val="0"/>
        <w:kinsoku/>
        <w:wordWrap/>
        <w:topLinePunct w:val="0"/>
        <w:bidi w:val="0"/>
        <w:adjustRightInd/>
        <w:snapToGrid/>
        <w:spacing w:after="0" w:line="560" w:lineRule="exact"/>
        <w:ind w:firstLine="613"/>
        <w:textAlignment w:val="auto"/>
        <w:rPr>
          <w:rFonts w:hint="eastAsia"/>
        </w:rPr>
      </w:pPr>
      <w:r>
        <w:rPr>
          <w:rFonts w:hint="default" w:ascii="Times New Roman" w:hAnsi="Times New Roman" w:cs="Times New Roman"/>
          <w:lang w:val="en-US" w:eastAsia="zh-CN"/>
        </w:rPr>
        <w:t>2.</w:t>
      </w:r>
      <w:r>
        <w:t>申请办理</w:t>
      </w:r>
      <w:r>
        <w:rPr>
          <w:rFonts w:hint="eastAsia"/>
          <w:lang w:val="en-US" w:eastAsia="zh-CN"/>
        </w:rPr>
        <w:t>公共</w:t>
      </w:r>
      <w:r>
        <w:t>数据产品和服务首次登记，应当提交</w:t>
      </w:r>
      <w:r>
        <w:rPr>
          <w:rFonts w:hint="eastAsia"/>
          <w:lang w:val="en-US" w:eastAsia="zh-CN"/>
        </w:rPr>
        <w:t>包括但不限于</w:t>
      </w:r>
      <w:r>
        <w:rPr>
          <w:rFonts w:hint="eastAsia"/>
        </w:rPr>
        <w:t>下列</w:t>
      </w:r>
      <w:r>
        <w:t>材料：</w:t>
      </w:r>
    </w:p>
    <w:p w14:paraId="1112600B">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Regular" w:hAnsi="Times New Roman Regular" w:cs="Times New Roman Regular"/>
          <w:color w:val="000000" w:themeColor="text1"/>
          <w:kern w:val="2"/>
          <w:sz w:val="32"/>
          <w:szCs w:val="32"/>
          <w:lang w:val="en-US" w:eastAsia="zh-CN" w:bidi="ar-SA"/>
          <w14:textFill>
            <w14:solidFill>
              <w14:schemeClr w14:val="tx1"/>
            </w14:solidFill>
          </w14:textFill>
          <w14:ligatures w14:val="standardContextual"/>
        </w:rPr>
        <w:t>（1）</w:t>
      </w:r>
      <w:r>
        <w:rPr>
          <w:rFonts w:ascii="Times New Roman" w:hAnsi="Times New Roman" w:cs="Times New Roman"/>
          <w:color w:val="000000" w:themeColor="text1"/>
          <w14:textFill>
            <w14:solidFill>
              <w14:schemeClr w14:val="tx1"/>
            </w14:solidFill>
          </w14:textFill>
        </w:rPr>
        <w:t>数据合规性来源佐证或承诺</w:t>
      </w:r>
      <w:r>
        <w:rPr>
          <w:rFonts w:hint="eastAsia" w:ascii="Times New Roman" w:hAnsi="Times New Roman" w:cs="Times New Roman"/>
          <w:color w:val="000000" w:themeColor="text1"/>
          <w14:textFill>
            <w14:solidFill>
              <w14:schemeClr w14:val="tx1"/>
            </w14:solidFill>
          </w14:textFill>
        </w:rPr>
        <w:t>；</w:t>
      </w:r>
    </w:p>
    <w:p w14:paraId="30A1996A">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Regular" w:hAnsi="Times New Roman Regular" w:cs="Times New Roman Regular"/>
          <w:color w:val="000000" w:themeColor="text1"/>
          <w:kern w:val="2"/>
          <w:sz w:val="32"/>
          <w:szCs w:val="32"/>
          <w:lang w:val="en-US" w:eastAsia="zh-CN" w:bidi="ar-SA"/>
          <w14:textFill>
            <w14:solidFill>
              <w14:schemeClr w14:val="tx1"/>
            </w14:solidFill>
          </w14:textFill>
          <w14:ligatures w14:val="standardContextual"/>
        </w:rPr>
        <w:t>（2）</w:t>
      </w:r>
      <w:r>
        <w:rPr>
          <w:rFonts w:ascii="Times New Roman" w:hAnsi="Times New Roman" w:cs="Times New Roman"/>
          <w:color w:val="000000" w:themeColor="text1"/>
          <w14:textFill>
            <w14:solidFill>
              <w14:schemeClr w14:val="tx1"/>
            </w14:solidFill>
          </w14:textFill>
        </w:rPr>
        <w:t>数据安全风险评估报告（若产品和服务是基于已登记的被授权数据资源开发的可免提供）</w:t>
      </w:r>
      <w:r>
        <w:rPr>
          <w:rFonts w:hint="eastAsia" w:ascii="Times New Roman" w:hAnsi="Times New Roman" w:cs="Times New Roman"/>
          <w:color w:val="000000" w:themeColor="text1"/>
          <w14:textFill>
            <w14:solidFill>
              <w14:schemeClr w14:val="tx1"/>
            </w14:solidFill>
          </w14:textFill>
        </w:rPr>
        <w:t>；</w:t>
      </w:r>
    </w:p>
    <w:p w14:paraId="5A771E85">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Regular" w:hAnsi="Times New Roman Regular" w:cs="Times New Roman Regular"/>
          <w:color w:val="000000" w:themeColor="text1"/>
          <w:kern w:val="2"/>
          <w:sz w:val="32"/>
          <w:szCs w:val="32"/>
          <w:lang w:val="en-US" w:eastAsia="zh-CN" w:bidi="ar-SA"/>
          <w14:textFill>
            <w14:solidFill>
              <w14:schemeClr w14:val="tx1"/>
            </w14:solidFill>
          </w14:textFill>
          <w14:ligatures w14:val="standardContextual"/>
        </w:rPr>
        <w:t>（3）</w:t>
      </w:r>
      <w:r>
        <w:rPr>
          <w:rFonts w:ascii="Times New Roman" w:hAnsi="Times New Roman" w:cs="Times New Roman"/>
          <w:color w:val="000000" w:themeColor="text1"/>
          <w14:textFill>
            <w14:solidFill>
              <w14:schemeClr w14:val="tx1"/>
            </w14:solidFill>
          </w14:textFill>
        </w:rPr>
        <w:t>存证证明文件</w:t>
      </w:r>
      <w:r>
        <w:rPr>
          <w:rFonts w:hint="eastAsia" w:ascii="Times New Roman" w:hAnsi="Times New Roman" w:cs="Times New Roman"/>
          <w:color w:val="000000" w:themeColor="text1"/>
          <w14:textFill>
            <w14:solidFill>
              <w14:schemeClr w14:val="tx1"/>
            </w14:solidFill>
          </w14:textFill>
        </w:rPr>
        <w:t>；</w:t>
      </w:r>
    </w:p>
    <w:p w14:paraId="08D59D6A">
      <w:pPr>
        <w:pStyle w:val="11"/>
        <w:keepNext w:val="0"/>
        <w:keepLines w:val="0"/>
        <w:pageBreakBefore w:val="0"/>
        <w:numPr>
          <w:ilvl w:val="0"/>
          <w:numId w:val="0"/>
        </w:numPr>
        <w:kinsoku/>
        <w:wordWrap/>
        <w:overflowPunct w:val="0"/>
        <w:topLinePunct w:val="0"/>
        <w:autoSpaceDN w:val="0"/>
        <w:bidi w:val="0"/>
        <w:adjustRightInd/>
        <w:snapToGrid/>
        <w:spacing w:after="0" w:line="560" w:lineRule="exact"/>
        <w:ind w:left="0" w:leftChars="0" w:firstLine="622" w:firstLineChars="200"/>
        <w:textAlignment w:val="auto"/>
        <w:rPr>
          <w:rFonts w:hint="eastAsia"/>
        </w:rPr>
      </w:pPr>
      <w:r>
        <w:rPr>
          <w:rFonts w:hint="eastAsia" w:ascii="Times New Roman Regular" w:hAnsi="Times New Roman Regular" w:cs="Times New Roman Regular"/>
          <w:kern w:val="2"/>
          <w:sz w:val="32"/>
          <w:szCs w:val="32"/>
          <w:lang w:val="en-US" w:eastAsia="zh-CN" w:bidi="ar-SA"/>
          <w14:ligatures w14:val="standardContextual"/>
        </w:rPr>
        <w:t>（4）</w:t>
      </w:r>
      <w:r>
        <w:rPr>
          <w:rFonts w:ascii="Times New Roman" w:hAnsi="Times New Roman" w:cs="Times New Roman"/>
          <w:color w:val="000000" w:themeColor="text1"/>
          <w14:textFill>
            <w14:solidFill>
              <w14:schemeClr w14:val="tx1"/>
            </w14:solidFill>
          </w14:textFill>
        </w:rPr>
        <w:t>产品</w:t>
      </w:r>
      <w:r>
        <w:rPr>
          <w:rFonts w:hint="eastAsia" w:ascii="Times New Roman" w:hAnsi="Times New Roman" w:cs="Times New Roman"/>
          <w:color w:val="000000" w:themeColor="text1"/>
          <w:lang w:val="en-US" w:eastAsia="zh-CN"/>
          <w14:textFill>
            <w14:solidFill>
              <w14:schemeClr w14:val="tx1"/>
            </w14:solidFill>
          </w14:textFill>
        </w:rPr>
        <w:t>和服务</w:t>
      </w:r>
      <w:r>
        <w:rPr>
          <w:rFonts w:ascii="Times New Roman" w:hAnsi="Times New Roman" w:cs="Times New Roman"/>
          <w:color w:val="000000" w:themeColor="text1"/>
          <w14:textFill>
            <w14:solidFill>
              <w14:schemeClr w14:val="tx1"/>
            </w14:solidFill>
          </w14:textFill>
        </w:rPr>
        <w:t>详情说明。</w:t>
      </w:r>
    </w:p>
    <w:p w14:paraId="0604A428">
      <w:pPr>
        <w:pStyle w:val="11"/>
        <w:keepNext w:val="0"/>
        <w:keepLines w:val="0"/>
        <w:pageBreakBefore w:val="0"/>
        <w:kinsoku/>
        <w:wordWrap/>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多个主体共同申请办理首次登记，还应当提交共有主体的授权书。</w:t>
      </w:r>
    </w:p>
    <w:p w14:paraId="5B8060D1">
      <w:pPr>
        <w:pStyle w:val="15"/>
        <w:keepNext w:val="0"/>
        <w:keepLines w:val="0"/>
        <w:pageBreakBefore w:val="0"/>
        <w:kinsoku/>
        <w:wordWrap/>
        <w:overflowPunct w:val="0"/>
        <w:topLinePunct w:val="0"/>
        <w:autoSpaceDE w:val="0"/>
        <w:autoSpaceDN w:val="0"/>
        <w:bidi w:val="0"/>
        <w:adjustRightInd/>
        <w:snapToGrid/>
        <w:spacing w:after="0" w:line="560" w:lineRule="exact"/>
        <w:ind w:left="0" w:firstLine="622" w:firstLineChars="200"/>
        <w:textAlignment w:val="auto"/>
        <w:rPr>
          <w:rFonts w:hint="eastAsia"/>
        </w:rPr>
      </w:pPr>
      <w:r>
        <w:rPr>
          <w:rFonts w:ascii="Times New Roman" w:hAnsi="Times New Roman" w:cs="Times New Roman"/>
          <w:color w:val="000000" w:themeColor="text1"/>
          <w14:textFill>
            <w14:solidFill>
              <w14:schemeClr w14:val="tx1"/>
            </w14:solidFill>
          </w14:textFill>
        </w:rPr>
        <w:t>变更登记：</w:t>
      </w:r>
      <w:r>
        <w:rPr>
          <w:rFonts w:hint="eastAsia" w:ascii="Times New Roman" w:hAnsi="Times New Roman" w:cs="Times New Roman"/>
          <w:color w:val="000000" w:themeColor="text1"/>
          <w14:textFill>
            <w14:solidFill>
              <w14:schemeClr w14:val="tx1"/>
            </w14:solidFill>
          </w14:textFill>
        </w:rPr>
        <w:t>涉及登记信息内容重要更新或重大变化，登记主体应自确认变更事实之日起</w:t>
      </w:r>
      <w:r>
        <w:rPr>
          <w:rFonts w:ascii="Times New Roman" w:hAnsi="Times New Roman" w:cs="Times New Roman"/>
          <w:color w:val="000000" w:themeColor="text1"/>
          <w14:textFill>
            <w14:solidFill>
              <w14:schemeClr w14:val="tx1"/>
            </w14:solidFill>
          </w14:textFill>
        </w:rPr>
        <w:t>10</w:t>
      </w:r>
      <w:r>
        <w:rPr>
          <w:rFonts w:hint="eastAsia" w:ascii="Times New Roman" w:hAnsi="Times New Roman" w:cs="Times New Roman"/>
          <w:color w:val="000000" w:themeColor="text1"/>
          <w14:textFill>
            <w14:solidFill>
              <w14:schemeClr w14:val="tx1"/>
            </w14:solidFill>
          </w14:textFill>
        </w:rPr>
        <w:t>个工作</w:t>
      </w:r>
      <w:r>
        <w:rPr>
          <w:rFonts w:ascii="Times New Roman" w:hAnsi="Times New Roman" w:cs="Times New Roman"/>
          <w:color w:val="000000" w:themeColor="text1"/>
          <w14:textFill>
            <w14:solidFill>
              <w14:schemeClr w14:val="tx1"/>
            </w14:solidFill>
          </w14:textFill>
        </w:rPr>
        <w:t>日内</w:t>
      </w:r>
      <w:r>
        <w:rPr>
          <w:rFonts w:hint="eastAsia" w:ascii="Times New Roman" w:hAnsi="Times New Roman" w:cs="Times New Roman"/>
          <w:color w:val="000000" w:themeColor="text1"/>
          <w14:textFill>
            <w14:solidFill>
              <w14:schemeClr w14:val="tx1"/>
            </w14:solidFill>
          </w14:textFill>
        </w:rPr>
        <w:t>，向登记机构</w:t>
      </w:r>
      <w:r>
        <w:rPr>
          <w:rFonts w:ascii="Times New Roman" w:hAnsi="Times New Roman" w:cs="Times New Roman"/>
          <w:color w:val="000000" w:themeColor="text1"/>
          <w14:textFill>
            <w14:solidFill>
              <w14:schemeClr w14:val="tx1"/>
            </w14:solidFill>
          </w14:textFill>
        </w:rPr>
        <w:t>申请</w:t>
      </w:r>
      <w:r>
        <w:rPr>
          <w:rFonts w:hint="eastAsia" w:ascii="Times New Roman" w:hAnsi="Times New Roman" w:cs="Times New Roman"/>
          <w:color w:val="000000" w:themeColor="text1"/>
          <w14:textFill>
            <w14:solidFill>
              <w14:schemeClr w14:val="tx1"/>
            </w14:solidFill>
          </w14:textFill>
        </w:rPr>
        <w:t>办理</w:t>
      </w:r>
      <w:r>
        <w:rPr>
          <w:rFonts w:ascii="Times New Roman" w:hAnsi="Times New Roman" w:cs="Times New Roman"/>
          <w:color w:val="000000" w:themeColor="text1"/>
          <w14:textFill>
            <w14:solidFill>
              <w14:schemeClr w14:val="tx1"/>
            </w14:solidFill>
          </w14:textFill>
        </w:rPr>
        <w:t>变更登记</w:t>
      </w:r>
      <w:r>
        <w:rPr>
          <w:rFonts w:hint="eastAsia" w:ascii="Times New Roman" w:hAnsi="Times New Roman" w:cs="Times New Roman"/>
          <w:color w:val="000000" w:themeColor="text1"/>
          <w14:textFill>
            <w14:solidFill>
              <w14:schemeClr w14:val="tx1"/>
            </w14:solidFill>
          </w14:textFill>
        </w:rPr>
        <w:t>。</w:t>
      </w:r>
    </w:p>
    <w:p w14:paraId="6B94ABAE">
      <w:pPr>
        <w:pStyle w:val="11"/>
        <w:keepNext w:val="0"/>
        <w:keepLines w:val="0"/>
        <w:pageBreakBefore w:val="0"/>
        <w:kinsoku/>
        <w:wordWrap/>
        <w:topLinePunct w:val="0"/>
        <w:bidi w:val="0"/>
        <w:adjustRightInd/>
        <w:snapToGrid/>
        <w:spacing w:after="0" w:line="560" w:lineRule="exact"/>
        <w:ind w:firstLine="613"/>
        <w:textAlignment w:val="auto"/>
        <w:rPr>
          <w:rFonts w:hint="eastAsia"/>
        </w:rPr>
      </w:pPr>
      <w:r>
        <w:rPr>
          <w:rFonts w:hint="default" w:ascii="Times New Roman" w:hAnsi="Times New Roman" w:cs="Times New Roman"/>
          <w:lang w:val="en-US" w:eastAsia="zh-CN"/>
        </w:rPr>
        <w:t>1.</w:t>
      </w:r>
      <w:r>
        <w:t>申请办理变更登记，应当根据</w:t>
      </w:r>
      <w:r>
        <w:rPr>
          <w:rFonts w:hint="eastAsia"/>
        </w:rPr>
        <w:t>具体情形分别</w:t>
      </w:r>
      <w:r>
        <w:t>提交</w:t>
      </w:r>
      <w:r>
        <w:rPr>
          <w:rFonts w:hint="eastAsia"/>
        </w:rPr>
        <w:t>下列</w:t>
      </w:r>
      <w:r>
        <w:t>材料：</w:t>
      </w:r>
    </w:p>
    <w:p w14:paraId="5DA36047">
      <w:pPr>
        <w:pStyle w:val="11"/>
        <w:keepNext w:val="0"/>
        <w:keepLines w:val="0"/>
        <w:pageBreakBefore w:val="0"/>
        <w:widowControl w:val="0"/>
        <w:numPr>
          <w:ilvl w:val="0"/>
          <w:numId w:val="0"/>
        </w:numPr>
        <w:kinsoku/>
        <w:wordWrap/>
        <w:topLinePunct w:val="0"/>
        <w:autoSpaceDE/>
        <w:bidi w:val="0"/>
        <w:adjustRightInd/>
        <w:snapToGrid/>
        <w:spacing w:after="0" w:line="560" w:lineRule="exact"/>
        <w:ind w:left="0" w:leftChars="0" w:firstLine="622" w:firstLineChars="200"/>
        <w:textAlignment w:val="auto"/>
        <w:rPr>
          <w:rFonts w:hint="eastAsia"/>
        </w:rPr>
      </w:pPr>
      <w:r>
        <w:rPr>
          <w:rFonts w:hint="eastAsia" w:ascii="Times New Roman Regular" w:hAnsi="Times New Roman Regular" w:cs="Times New Roman Regular"/>
          <w:kern w:val="2"/>
          <w:sz w:val="32"/>
          <w:szCs w:val="32"/>
          <w:lang w:val="en-US" w:eastAsia="zh-CN" w:bidi="ar-SA"/>
          <w14:ligatures w14:val="standardContextual"/>
        </w:rPr>
        <w:t>（1）</w:t>
      </w:r>
      <w:r>
        <w:rPr>
          <w:rFonts w:hint="eastAsia" w:ascii="Times New Roman" w:hAnsi="Times New Roman" w:cs="Times New Roman"/>
        </w:rPr>
        <w:t>涉及</w:t>
      </w:r>
      <w:r>
        <w:t>登记主体名称、</w:t>
      </w:r>
      <w:r>
        <w:rPr>
          <w:rFonts w:hint="eastAsia"/>
        </w:rPr>
        <w:t>登记主体性质、统一社会信用代码</w:t>
      </w:r>
      <w:r>
        <w:t>、</w:t>
      </w:r>
      <w:r>
        <w:rPr>
          <w:rFonts w:hint="eastAsia" w:cs="Times New Roman"/>
          <w:szCs w:val="30"/>
        </w:rPr>
        <w:t>营业执照/法人证书</w:t>
      </w:r>
      <w:r>
        <w:t>等重要信息发生变更的，提交相关部门</w:t>
      </w:r>
      <w:r>
        <w:rPr>
          <w:rFonts w:hint="eastAsia"/>
        </w:rPr>
        <w:t>的</w:t>
      </w:r>
      <w:r>
        <w:t>核准文件；</w:t>
      </w:r>
    </w:p>
    <w:p w14:paraId="6B53AF86">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hint="eastAsia"/>
        </w:rPr>
      </w:pPr>
      <w:r>
        <w:rPr>
          <w:rFonts w:hint="eastAsia" w:ascii="Times New Roman Regular" w:hAnsi="Times New Roman Regular" w:cs="Times New Roman Regular"/>
          <w:kern w:val="2"/>
          <w:sz w:val="32"/>
          <w:szCs w:val="32"/>
          <w:lang w:val="en-US" w:eastAsia="zh-CN" w:bidi="ar-SA"/>
          <w14:ligatures w14:val="standardContextual"/>
        </w:rPr>
        <w:t>（2）</w:t>
      </w:r>
      <w:r>
        <w:rPr>
          <w:rFonts w:hint="eastAsia" w:ascii="Times New Roman" w:hAnsi="Times New Roman" w:cs="Times New Roman"/>
        </w:rPr>
        <w:t>登记主体</w:t>
      </w:r>
      <w:r>
        <w:rPr>
          <w:rFonts w:hint="eastAsia"/>
        </w:rPr>
        <w:t>权益</w:t>
      </w:r>
      <w:r>
        <w:t>发生</w:t>
      </w:r>
      <w:r>
        <w:rPr>
          <w:rFonts w:hint="eastAsia"/>
        </w:rPr>
        <w:t>变更</w:t>
      </w:r>
      <w:r>
        <w:t>的，提交</w:t>
      </w:r>
      <w:r>
        <w:rPr>
          <w:rFonts w:hint="eastAsia"/>
        </w:rPr>
        <w:t>权益转让合同、协议或</w:t>
      </w:r>
      <w:r>
        <w:t>原登记主体（共有主体）同意变更的授权书</w:t>
      </w:r>
      <w:r>
        <w:rPr>
          <w:rFonts w:hint="eastAsia"/>
        </w:rPr>
        <w:t>，以及</w:t>
      </w:r>
      <w:r>
        <w:t>变更后</w:t>
      </w:r>
      <w:r>
        <w:rPr>
          <w:rFonts w:hint="eastAsia"/>
        </w:rPr>
        <w:t>登记</w:t>
      </w:r>
      <w:r>
        <w:t>主体</w:t>
      </w:r>
      <w:r>
        <w:rPr>
          <w:rFonts w:hint="eastAsia"/>
        </w:rPr>
        <w:t>身份</w:t>
      </w:r>
      <w:r>
        <w:t>证明文件；</w:t>
      </w:r>
    </w:p>
    <w:p w14:paraId="422F192F">
      <w:pPr>
        <w:pStyle w:val="11"/>
        <w:keepNext w:val="0"/>
        <w:keepLines w:val="0"/>
        <w:pageBreakBefore w:val="0"/>
        <w:widowControl w:val="0"/>
        <w:numPr>
          <w:ilvl w:val="0"/>
          <w:numId w:val="0"/>
        </w:numPr>
        <w:kinsoku/>
        <w:wordWrap/>
        <w:topLinePunct w:val="0"/>
        <w:autoSpaceDE/>
        <w:bidi w:val="0"/>
        <w:adjustRightInd/>
        <w:snapToGrid/>
        <w:spacing w:after="0" w:line="560" w:lineRule="exact"/>
        <w:ind w:left="0" w:leftChars="0" w:firstLine="622" w:firstLineChars="200"/>
        <w:textAlignment w:val="auto"/>
        <w:rPr>
          <w:rFonts w:hint="eastAsia"/>
        </w:rPr>
      </w:pPr>
      <w:r>
        <w:rPr>
          <w:rFonts w:hint="eastAsia" w:ascii="Times New Roman Regular" w:hAnsi="Times New Roman Regular" w:cs="Times New Roman Regular"/>
          <w:kern w:val="2"/>
          <w:sz w:val="32"/>
          <w:szCs w:val="32"/>
          <w:lang w:val="en-US" w:eastAsia="zh-CN" w:bidi="ar-SA"/>
          <w14:ligatures w14:val="standardContextual"/>
        </w:rPr>
        <w:t>（3）</w:t>
      </w:r>
      <w:r>
        <w:rPr>
          <w:rFonts w:hint="eastAsia" w:ascii="Times New Roman" w:hAnsi="Times New Roman" w:cs="Times New Roman"/>
        </w:rPr>
        <w:t>涉及</w:t>
      </w:r>
      <w:r>
        <w:t>数据来源、数据资源情况发生</w:t>
      </w:r>
      <w:r>
        <w:rPr>
          <w:rFonts w:hint="eastAsia"/>
        </w:rPr>
        <w:t>重大变化</w:t>
      </w:r>
      <w:r>
        <w:t>的，提交相关的佐证材料或变更说明；</w:t>
      </w:r>
    </w:p>
    <w:p w14:paraId="58B83808">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hint="eastAsia"/>
        </w:rPr>
      </w:pPr>
      <w:r>
        <w:rPr>
          <w:rFonts w:hint="eastAsia" w:ascii="Times New Roman Regular" w:hAnsi="Times New Roman Regular" w:cs="Times New Roman Regular"/>
          <w:kern w:val="2"/>
          <w:sz w:val="32"/>
          <w:szCs w:val="32"/>
          <w:lang w:val="en-US" w:eastAsia="zh-CN" w:bidi="ar-SA"/>
          <w14:ligatures w14:val="standardContextual"/>
        </w:rPr>
        <w:t>（4）</w:t>
      </w:r>
      <w:r>
        <w:rPr>
          <w:rFonts w:hint="eastAsia" w:ascii="Times New Roman" w:hAnsi="Times New Roman" w:cs="Times New Roman"/>
        </w:rPr>
        <w:t>涉及</w:t>
      </w:r>
      <w:r>
        <w:t>产品和服务</w:t>
      </w:r>
      <w:r>
        <w:rPr>
          <w:rFonts w:hint="eastAsia"/>
        </w:rPr>
        <w:t>的核心功能、服务范围等发生重要更新或升级的</w:t>
      </w:r>
      <w:r>
        <w:t>，提交变更后的</w:t>
      </w:r>
      <w:r>
        <w:rPr>
          <w:rFonts w:hint="eastAsia"/>
        </w:rPr>
        <w:t>产品</w:t>
      </w:r>
      <w:r>
        <w:rPr>
          <w:rFonts w:hint="eastAsia"/>
          <w:lang w:val="en-US" w:eastAsia="zh-CN"/>
        </w:rPr>
        <w:t>和服务</w:t>
      </w:r>
      <w:r>
        <w:rPr>
          <w:rFonts w:hint="eastAsia"/>
        </w:rPr>
        <w:t>详情</w:t>
      </w:r>
      <w:r>
        <w:t>说明；</w:t>
      </w:r>
    </w:p>
    <w:p w14:paraId="3BD3F731">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hint="eastAsia"/>
        </w:rPr>
      </w:pPr>
      <w:r>
        <w:rPr>
          <w:rFonts w:hint="eastAsia" w:ascii="Times New Roman Regular" w:hAnsi="Times New Roman Regular" w:cs="Times New Roman Regular"/>
          <w:kern w:val="2"/>
          <w:sz w:val="32"/>
          <w:szCs w:val="32"/>
          <w:lang w:val="en-US" w:eastAsia="zh-CN" w:bidi="ar-SA"/>
          <w14:ligatures w14:val="standardContextual"/>
        </w:rPr>
        <w:t>（5）</w:t>
      </w:r>
      <w:r>
        <w:rPr>
          <w:rFonts w:hint="eastAsia" w:ascii="Times New Roman" w:hAnsi="Times New Roman" w:cs="Times New Roman"/>
        </w:rPr>
        <w:t>涉及</w:t>
      </w:r>
      <w:r>
        <w:t>存证</w:t>
      </w:r>
      <w:r>
        <w:rPr>
          <w:rFonts w:hint="eastAsia"/>
        </w:rPr>
        <w:t>机构</w:t>
      </w:r>
      <w:r>
        <w:t>、存证方式、</w:t>
      </w:r>
      <w:r>
        <w:rPr>
          <w:rFonts w:hint="eastAsia"/>
        </w:rPr>
        <w:t>存证系统或</w:t>
      </w:r>
      <w:r>
        <w:t>存证有效期等</w:t>
      </w:r>
      <w:r>
        <w:rPr>
          <w:rFonts w:hint="eastAsia"/>
        </w:rPr>
        <w:t>情况发生重大</w:t>
      </w:r>
      <w:r>
        <w:t>变更的，提交变更后的存证证明文件。</w:t>
      </w:r>
    </w:p>
    <w:p w14:paraId="2CF14AA3">
      <w:pPr>
        <w:pStyle w:val="15"/>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更正登记：</w:t>
      </w:r>
      <w:r>
        <w:rPr>
          <w:rFonts w:hint="eastAsia" w:ascii="Times New Roman" w:hAnsi="Times New Roman" w:cs="Times New Roman"/>
          <w:color w:val="000000" w:themeColor="text1"/>
          <w14:textFill>
            <w14:solidFill>
              <w14:schemeClr w14:val="tx1"/>
            </w14:solidFill>
          </w14:textFill>
        </w:rPr>
        <w:t>因登记信息有误申请办理更正登记</w:t>
      </w:r>
      <w:r>
        <w:rPr>
          <w:rFonts w:ascii="Times New Roman" w:hAnsi="Times New Roman" w:cs="Times New Roman"/>
          <w:color w:val="000000" w:themeColor="text1"/>
          <w14:textFill>
            <w14:solidFill>
              <w14:schemeClr w14:val="tx1"/>
            </w14:solidFill>
          </w14:textFill>
        </w:rPr>
        <w:t>，登记主体或利害关系人</w:t>
      </w:r>
      <w:r>
        <w:rPr>
          <w:rFonts w:hint="eastAsia" w:ascii="Times New Roman" w:hAnsi="Times New Roman" w:cs="Times New Roman"/>
          <w:color w:val="000000" w:themeColor="text1"/>
          <w14:textFill>
            <w14:solidFill>
              <w14:schemeClr w14:val="tx1"/>
            </w14:solidFill>
          </w14:textFill>
        </w:rPr>
        <w:t>应当</w:t>
      </w:r>
      <w:r>
        <w:rPr>
          <w:rFonts w:ascii="Times New Roman" w:hAnsi="Times New Roman" w:cs="Times New Roman"/>
          <w:color w:val="000000" w:themeColor="text1"/>
          <w14:textFill>
            <w14:solidFill>
              <w14:schemeClr w14:val="tx1"/>
            </w14:solidFill>
          </w14:textFill>
        </w:rPr>
        <w:t>提交登记主体同意更正的书面材料或证明记载事项错误的佐证材料。</w:t>
      </w:r>
    </w:p>
    <w:p w14:paraId="5F8D5ED1">
      <w:pPr>
        <w:pStyle w:val="15"/>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注销登记：</w:t>
      </w:r>
      <w:r>
        <w:rPr>
          <w:rFonts w:hint="eastAsia" w:ascii="Times New Roman" w:hAnsi="Times New Roman" w:cs="Times New Roman"/>
        </w:rPr>
        <w:t>已登记的公共数据资源，因数据资源本身灭失或登记主体相关权益灭失等原因终止使用的，</w:t>
      </w:r>
      <w:r>
        <w:rPr>
          <w:rFonts w:ascii="Times New Roman" w:hAnsi="Times New Roman" w:cs="Times New Roman"/>
        </w:rPr>
        <w:t>应向登记</w:t>
      </w:r>
      <w:r>
        <w:rPr>
          <w:rFonts w:hint="eastAsia" w:ascii="Times New Roman" w:hAnsi="Times New Roman" w:cs="Times New Roman"/>
          <w:lang w:val="en-US" w:eastAsia="zh-CN"/>
        </w:rPr>
        <w:t>机构</w:t>
      </w:r>
      <w:r>
        <w:rPr>
          <w:rFonts w:ascii="Times New Roman" w:hAnsi="Times New Roman" w:cs="Times New Roman"/>
        </w:rPr>
        <w:t>申请注销登记</w:t>
      </w:r>
      <w:r>
        <w:rPr>
          <w:rFonts w:hint="eastAsia" w:ascii="Times New Roman" w:hAnsi="Times New Roman" w:cs="Times New Roman"/>
        </w:rPr>
        <w:t>。</w:t>
      </w:r>
    </w:p>
    <w:p w14:paraId="72B5B6BC">
      <w:pPr>
        <w:pStyle w:val="11"/>
        <w:keepNext w:val="0"/>
        <w:keepLines w:val="0"/>
        <w:pageBreakBefore w:val="0"/>
        <w:kinsoku/>
        <w:wordWrap/>
        <w:topLinePunct w:val="0"/>
        <w:bidi w:val="0"/>
        <w:adjustRightInd/>
        <w:snapToGrid/>
        <w:spacing w:after="0" w:line="560" w:lineRule="exact"/>
        <w:ind w:firstLine="613"/>
        <w:textAlignment w:val="auto"/>
        <w:rPr>
          <w:rFonts w:hint="eastAsia"/>
        </w:rPr>
      </w:pPr>
      <w:r>
        <w:rPr>
          <w:rFonts w:hint="default" w:ascii="Times New Roman" w:hAnsi="Times New Roman" w:cs="Times New Roman"/>
          <w:lang w:val="en-US" w:eastAsia="zh-CN"/>
        </w:rPr>
        <w:t>1.</w:t>
      </w:r>
      <w:r>
        <w:rPr>
          <w:rFonts w:hint="eastAsia"/>
        </w:rPr>
        <w:t>申请办理注销登记，</w:t>
      </w:r>
      <w:r>
        <w:t>应当根据</w:t>
      </w:r>
      <w:r>
        <w:rPr>
          <w:rFonts w:hint="eastAsia"/>
        </w:rPr>
        <w:t>具体情形</w:t>
      </w:r>
      <w:r>
        <w:t>提交</w:t>
      </w:r>
      <w:r>
        <w:rPr>
          <w:rFonts w:hint="eastAsia"/>
        </w:rPr>
        <w:t>下列</w:t>
      </w:r>
      <w:r>
        <w:t>材料</w:t>
      </w:r>
      <w:r>
        <w:rPr>
          <w:rFonts w:hint="eastAsia"/>
        </w:rPr>
        <w:t>：</w:t>
      </w:r>
    </w:p>
    <w:p w14:paraId="7EF865CF">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（1）</w:t>
      </w:r>
      <w:r>
        <w:rPr>
          <w:rFonts w:hint="eastAsia" w:ascii="Times New Roman" w:hAnsi="Times New Roman" w:cs="Times New Roman"/>
          <w:color w:val="000000" w:themeColor="text1"/>
          <w14:textFill>
            <w14:solidFill>
              <w14:schemeClr w14:val="tx1"/>
            </w14:solidFill>
          </w14:textFill>
        </w:rPr>
        <w:t>公共数据资源</w:t>
      </w:r>
      <w:r>
        <w:rPr>
          <w:rFonts w:ascii="Times New Roman" w:hAnsi="Times New Roman" w:cs="Times New Roman"/>
          <w:color w:val="000000" w:themeColor="text1"/>
          <w14:textFill>
            <w14:solidFill>
              <w14:schemeClr w14:val="tx1"/>
            </w14:solidFill>
          </w14:textFill>
        </w:rPr>
        <w:t>不可复原或灭失</w:t>
      </w:r>
      <w:r>
        <w:rPr>
          <w:rFonts w:hint="eastAsia" w:ascii="Times New Roman" w:hAnsi="Times New Roman" w:cs="Times New Roman"/>
          <w:color w:val="000000" w:themeColor="text1"/>
          <w14:textFill>
            <w14:solidFill>
              <w14:schemeClr w14:val="tx1"/>
            </w14:solidFill>
          </w14:textFill>
        </w:rPr>
        <w:t>的，提交相关佐证材料说明公共数据资源不可复原或灭失的具体情况，包括事件发生的时间、地点、经过，以及导致数据资源无法复原或灭失的直接原因和间接原因等；</w:t>
      </w:r>
    </w:p>
    <w:p w14:paraId="1D740205">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（2）</w:t>
      </w:r>
      <w:r>
        <w:rPr>
          <w:rFonts w:hint="eastAsia" w:ascii="Times New Roman" w:hAnsi="Times New Roman" w:cs="Times New Roman"/>
          <w:color w:val="000000" w:themeColor="text1"/>
          <w14:textFill>
            <w14:solidFill>
              <w14:schemeClr w14:val="tx1"/>
            </w14:solidFill>
          </w14:textFill>
        </w:rPr>
        <w:t>登记主体在权益期限届满前主动放弃相关权益的，提交表示自愿放弃已登记公共数据资源相关权益</w:t>
      </w:r>
      <w:r>
        <w:rPr>
          <w:rFonts w:hint="eastAsia" w:ascii="Times New Roman" w:hAnsi="Times New Roman" w:cs="Times New Roman"/>
          <w:color w:val="000000" w:themeColor="text1"/>
          <w:lang w:val="en-US" w:eastAsia="zh-CN"/>
          <w14:textFill>
            <w14:solidFill>
              <w14:schemeClr w14:val="tx1"/>
            </w14:solidFill>
          </w14:textFill>
        </w:rPr>
        <w:t>的</w:t>
      </w:r>
      <w:r>
        <w:rPr>
          <w:rFonts w:ascii="Times New Roman" w:hAnsi="Times New Roman" w:cs="Times New Roman"/>
          <w:color w:val="000000" w:themeColor="text1"/>
          <w14:textFill>
            <w14:solidFill>
              <w14:schemeClr w14:val="tx1"/>
            </w14:solidFill>
          </w14:textFill>
        </w:rPr>
        <w:t>放弃声明</w:t>
      </w:r>
      <w:r>
        <w:rPr>
          <w:rFonts w:hint="eastAsia" w:ascii="Times New Roman" w:hAnsi="Times New Roman" w:cs="Times New Roman"/>
          <w:color w:val="000000" w:themeColor="text1"/>
          <w14:textFill>
            <w14:solidFill>
              <w14:schemeClr w14:val="tx1"/>
            </w14:solidFill>
          </w14:textFill>
        </w:rPr>
        <w:t>，声明中应包含放弃权益的具体范围、内容以及不再主张任何相关权利的承诺</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涉及多个登记主体时，权益放弃声明需由共有主体签字或盖章；</w:t>
      </w:r>
    </w:p>
    <w:p w14:paraId="42458157">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（3）</w:t>
      </w:r>
      <w:r>
        <w:rPr>
          <w:rFonts w:hint="eastAsia" w:ascii="Times New Roman" w:hAnsi="Times New Roman" w:cs="Times New Roman"/>
          <w:color w:val="000000" w:themeColor="text1"/>
          <w14:textFill>
            <w14:solidFill>
              <w14:schemeClr w14:val="tx1"/>
            </w14:solidFill>
          </w14:textFill>
        </w:rPr>
        <w:t>登记主体在权益期限届满后放弃相关权益的，提交记载权益内容且明确约定权益期限的相关合同或协议，作为权益期限已届满的佐证材料；</w:t>
      </w:r>
    </w:p>
    <w:p w14:paraId="6090B603">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（4）</w:t>
      </w:r>
      <w:r>
        <w:rPr>
          <w:rFonts w:hint="eastAsia" w:ascii="Times New Roman" w:hAnsi="Times New Roman" w:cs="Times New Roman"/>
          <w:color w:val="000000" w:themeColor="text1"/>
          <w14:textFill>
            <w14:solidFill>
              <w14:schemeClr w14:val="tx1"/>
            </w14:solidFill>
          </w14:textFill>
        </w:rPr>
        <w:t>登记主体因解散、被依法撤销、被宣告破产或因其他原因终止存续的，提交证明登记主体终止存续事实的佐证材料；</w:t>
      </w:r>
    </w:p>
    <w:p w14:paraId="79CC8C4F">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left="0" w:leftChars="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2"/>
          <w:sz w:val="32"/>
          <w:szCs w:val="32"/>
          <w:lang w:val="en-US" w:eastAsia="zh-CN" w:bidi="ar-SA"/>
          <w14:textFill>
            <w14:solidFill>
              <w14:schemeClr w14:val="tx1"/>
            </w14:solidFill>
          </w14:textFill>
          <w14:ligatures w14:val="standardContextual"/>
        </w:rPr>
        <w:t>（5）</w:t>
      </w:r>
      <w:r>
        <w:rPr>
          <w:rFonts w:hint="eastAsia" w:ascii="Times New Roman" w:hAnsi="Times New Roman" w:cs="Times New Roman"/>
        </w:rPr>
        <w:t>因法定事由导致</w:t>
      </w:r>
      <w:r>
        <w:rPr>
          <w:rFonts w:ascii="Times New Roman" w:hAnsi="Times New Roman" w:cs="Times New Roman"/>
        </w:rPr>
        <w:t>登记主体相关权利灭失的</w:t>
      </w:r>
      <w:r>
        <w:rPr>
          <w:rFonts w:hint="eastAsia" w:ascii="Times New Roman" w:hAnsi="Times New Roman" w:cs="Times New Roman"/>
        </w:rPr>
        <w:t>，提交</w:t>
      </w:r>
      <w:r>
        <w:rPr>
          <w:rFonts w:ascii="Times New Roman" w:hAnsi="Times New Roman" w:cs="Times New Roman"/>
        </w:rPr>
        <w:t>人民法院、仲裁委员会的生效法律文书或者人民政府的生效决定</w:t>
      </w:r>
      <w:r>
        <w:rPr>
          <w:rFonts w:hint="eastAsia" w:ascii="Times New Roman" w:hAnsi="Times New Roman" w:cs="Times New Roman"/>
        </w:rPr>
        <w:t>。</w:t>
      </w:r>
    </w:p>
    <w:p w14:paraId="2826B33D">
      <w:pPr>
        <w:pStyle w:val="15"/>
        <w:keepNext w:val="0"/>
        <w:keepLines w:val="0"/>
        <w:pageBreakBefore w:val="0"/>
        <w:numPr>
          <w:ilvl w:val="0"/>
          <w:numId w:val="0"/>
        </w:numPr>
        <w:kinsoku/>
        <w:wordWrap/>
        <w:overflowPunct w:val="0"/>
        <w:topLinePunct w:val="0"/>
        <w:autoSpaceDN w:val="0"/>
        <w:bidi w:val="0"/>
        <w:adjustRightInd/>
        <w:snapToGrid/>
        <w:spacing w:after="0" w:line="560" w:lineRule="exact"/>
        <w:ind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如发生</w:t>
      </w:r>
      <w:r>
        <w:rPr>
          <w:rFonts w:ascii="Times New Roman" w:hAnsi="Times New Roman" w:cs="Times New Roman"/>
          <w:color w:val="000000" w:themeColor="text1"/>
          <w14:textFill>
            <w14:solidFill>
              <w14:schemeClr w14:val="tx1"/>
            </w14:solidFill>
          </w14:textFill>
        </w:rPr>
        <w:t>登记主体相关权利灭失的，由新登记主体进行注销登记；如无新登记主体，则由登记机构进行注销登记、作废登记结果，并</w:t>
      </w:r>
      <w:r>
        <w:rPr>
          <w:rFonts w:hint="eastAsia" w:ascii="Times New Roman" w:hAnsi="Times New Roman" w:cs="Times New Roman"/>
          <w:color w:val="000000" w:themeColor="text1"/>
          <w14:textFill>
            <w14:solidFill>
              <w14:schemeClr w14:val="tx1"/>
            </w14:solidFill>
          </w14:textFill>
        </w:rPr>
        <w:t>向社会</w:t>
      </w:r>
      <w:r>
        <w:rPr>
          <w:rFonts w:ascii="Times New Roman" w:hAnsi="Times New Roman" w:cs="Times New Roman"/>
          <w:color w:val="000000" w:themeColor="text1"/>
          <w14:textFill>
            <w14:solidFill>
              <w14:schemeClr w14:val="tx1"/>
            </w14:solidFill>
          </w14:textFill>
        </w:rPr>
        <w:t>公示。</w:t>
      </w:r>
    </w:p>
    <w:p w14:paraId="1B49E302">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hint="eastAsia"/>
        </w:rPr>
      </w:pPr>
      <w:r>
        <w:rPr>
          <w:rFonts w:hint="eastAsia"/>
        </w:rPr>
        <w:t>登记机构应当自收到申</w:t>
      </w:r>
      <w:r>
        <w:rPr>
          <w:rFonts w:hint="eastAsia"/>
          <w:lang w:eastAsia="zh-CN"/>
        </w:rPr>
        <w:t>请之</w:t>
      </w:r>
      <w:r>
        <w:rPr>
          <w:rFonts w:hint="eastAsia"/>
        </w:rPr>
        <w:t>日起，</w:t>
      </w:r>
      <w:r>
        <w:rPr>
          <w:rFonts w:hint="default" w:ascii="Times New Roman Regular" w:hAnsi="Times New Roman Regular" w:cs="Times New Roman Regular"/>
        </w:rPr>
        <w:t>3</w:t>
      </w:r>
      <w:r>
        <w:rPr>
          <w:rFonts w:hint="eastAsia"/>
        </w:rPr>
        <w:t>个工作日内予以受理。</w:t>
      </w:r>
      <w:r>
        <w:t>申请材料不齐全或不符合</w:t>
      </w:r>
      <w:r>
        <w:rPr>
          <w:rFonts w:ascii="Times New Roman" w:hAnsi="Times New Roman" w:cs="Times New Roman"/>
          <w:color w:val="000000" w:themeColor="text1"/>
          <w14:textFill>
            <w14:solidFill>
              <w14:schemeClr w14:val="tx1"/>
            </w14:solidFill>
          </w14:textFill>
        </w:rPr>
        <w:t>规定</w:t>
      </w:r>
      <w:r>
        <w:t>的，登记机构</w:t>
      </w:r>
      <w:r>
        <w:rPr>
          <w:rFonts w:hint="eastAsia"/>
        </w:rPr>
        <w:t>应当</w:t>
      </w:r>
      <w:r>
        <w:t>一次性告知登记主体需要</w:t>
      </w:r>
      <w:r>
        <w:rPr>
          <w:rFonts w:hint="eastAsia"/>
        </w:rPr>
        <w:t>补正的全部材料</w:t>
      </w:r>
      <w:r>
        <w:t>。决定不予受理</w:t>
      </w:r>
      <w:r>
        <w:rPr>
          <w:rFonts w:hint="eastAsia"/>
        </w:rPr>
        <w:t>的</w:t>
      </w:r>
      <w:r>
        <w:t>，登记机构</w:t>
      </w:r>
      <w:r>
        <w:rPr>
          <w:rFonts w:hint="eastAsia"/>
        </w:rPr>
        <w:t>应当</w:t>
      </w:r>
      <w:r>
        <w:t>及时向登记主体说明不予受理的具体原因。</w:t>
      </w:r>
    </w:p>
    <w:p w14:paraId="45EB4D87">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登记机构应当对</w:t>
      </w:r>
      <w:r>
        <w:rPr>
          <w:rFonts w:hint="eastAsia" w:ascii="Times New Roman" w:hAnsi="Times New Roman" w:cs="Times New Roman"/>
          <w:color w:val="000000" w:themeColor="text1"/>
          <w14:textFill>
            <w14:solidFill>
              <w14:schemeClr w14:val="tx1"/>
            </w14:solidFill>
          </w14:textFill>
        </w:rPr>
        <w:t>申请</w:t>
      </w:r>
      <w:r>
        <w:rPr>
          <w:rFonts w:ascii="Times New Roman" w:hAnsi="Times New Roman" w:cs="Times New Roman"/>
          <w:color w:val="000000" w:themeColor="text1"/>
          <w14:textFill>
            <w14:solidFill>
              <w14:schemeClr w14:val="tx1"/>
            </w14:solidFill>
          </w14:textFill>
        </w:rPr>
        <w:t>材料内容进行形式审核，自受理之日起</w:t>
      </w:r>
      <w:r>
        <w:rPr>
          <w:rFonts w:hint="eastAsia" w:ascii="Times New Roman" w:hAnsi="Times New Roman" w:cs="Times New Roman"/>
          <w:color w:val="000000" w:themeColor="text1"/>
          <w:lang w:val="en-US" w:eastAsia="zh-CN"/>
          <w14:textFill>
            <w14:solidFill>
              <w14:schemeClr w14:val="tx1"/>
            </w14:solidFill>
          </w14:textFill>
        </w:rPr>
        <w:t>15</w:t>
      </w:r>
      <w:r>
        <w:rPr>
          <w:rFonts w:ascii="Times New Roman" w:hAnsi="Times New Roman" w:cs="Times New Roman"/>
          <w:color w:val="000000" w:themeColor="text1"/>
          <w14:textFill>
            <w14:solidFill>
              <w14:schemeClr w14:val="tx1"/>
            </w14:solidFill>
          </w14:textFill>
        </w:rPr>
        <w:t>个工作日之内完成审核。因情况复杂在规定期限内未完成审核的，应当向登记主体及时说明原因，可再延长5个工作日。</w:t>
      </w:r>
    </w:p>
    <w:p w14:paraId="6F0A1393">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登记机构形式审核完成后应当将有关登记信息向社会公示，公示期为10个工作日。登记公示内容主要包括主体名称、登记类型、内容简介</w:t>
      </w:r>
      <w:r>
        <w:rPr>
          <w:rFonts w:hint="eastAsia" w:ascii="Times New Roman" w:hAnsi="Times New Roman" w:cs="Times New Roman"/>
          <w:color w:val="000000" w:themeColor="text1"/>
          <w:lang w:val="en-US" w:eastAsia="zh-CN"/>
          <w14:textFill>
            <w14:solidFill>
              <w14:schemeClr w14:val="tx1"/>
            </w14:solidFill>
          </w14:textFill>
        </w:rPr>
        <w:t>等</w:t>
      </w:r>
      <w:r>
        <w:rPr>
          <w:rFonts w:ascii="Times New Roman" w:hAnsi="Times New Roman" w:cs="Times New Roman"/>
          <w:color w:val="000000" w:themeColor="text1"/>
          <w14:textFill>
            <w14:solidFill>
              <w14:schemeClr w14:val="tx1"/>
            </w14:solidFill>
          </w14:textFill>
        </w:rPr>
        <w:t>。</w:t>
      </w:r>
    </w:p>
    <w:p w14:paraId="709DDEF1">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公示期内，任何自然人、法人</w:t>
      </w:r>
      <w:r>
        <w:rPr>
          <w:rFonts w:hint="eastAsia" w:ascii="Times New Roman" w:hAnsi="Times New Roman" w:cs="Times New Roman"/>
          <w:color w:val="000000" w:themeColor="text1"/>
          <w14:textFill>
            <w14:solidFill>
              <w14:schemeClr w14:val="tx1"/>
            </w14:solidFill>
          </w14:textFill>
        </w:rPr>
        <w:t>或</w:t>
      </w:r>
      <w:r>
        <w:rPr>
          <w:rFonts w:ascii="Times New Roman" w:hAnsi="Times New Roman" w:cs="Times New Roman"/>
          <w:color w:val="000000" w:themeColor="text1"/>
          <w14:textFill>
            <w14:solidFill>
              <w14:schemeClr w14:val="tx1"/>
            </w14:solidFill>
          </w14:textFill>
        </w:rPr>
        <w:t>非法人组织对公示信息有异议，应</w:t>
      </w:r>
      <w:r>
        <w:rPr>
          <w:rFonts w:hint="eastAsia" w:ascii="Times New Roman" w:hAnsi="Times New Roman" w:cs="Times New Roman"/>
          <w:color w:val="000000" w:themeColor="text1"/>
          <w14:textFill>
            <w14:solidFill>
              <w14:schemeClr w14:val="tx1"/>
            </w14:solidFill>
          </w14:textFill>
        </w:rPr>
        <w:t>当</w:t>
      </w:r>
      <w:r>
        <w:rPr>
          <w:rFonts w:ascii="Times New Roman" w:hAnsi="Times New Roman" w:cs="Times New Roman"/>
          <w:color w:val="000000" w:themeColor="text1"/>
          <w14:textFill>
            <w14:solidFill>
              <w14:schemeClr w14:val="tx1"/>
            </w14:solidFill>
          </w14:textFill>
        </w:rPr>
        <w:t>实名向登记机构提出异议，并提供真实、必要的证明材料作为依据。登记机构应在受理异议之日起</w:t>
      </w:r>
      <w:r>
        <w:rPr>
          <w:rFonts w:hint="eastAsia" w:ascii="Times New Roman" w:hAnsi="Times New Roman" w:cs="Times New Roman"/>
          <w:color w:val="000000" w:themeColor="text1"/>
          <w:lang w:val="en-US" w:eastAsia="zh-CN"/>
          <w14:textFill>
            <w14:solidFill>
              <w14:schemeClr w14:val="tx1"/>
            </w14:solidFill>
          </w14:textFill>
        </w:rPr>
        <w:t>3</w:t>
      </w:r>
      <w:r>
        <w:rPr>
          <w:rFonts w:ascii="Times New Roman" w:hAnsi="Times New Roman" w:cs="Times New Roman"/>
          <w:color w:val="000000" w:themeColor="text1"/>
          <w14:textFill>
            <w14:solidFill>
              <w14:schemeClr w14:val="tx1"/>
            </w14:solidFill>
          </w14:textFill>
        </w:rPr>
        <w:t>个工作日内，对所提出的异议进行复核。认为异议成立，应终止登记；无法核实的，将异议内容转交至登记主体，登记主体应在5个工作日内</w:t>
      </w:r>
      <w:r>
        <w:rPr>
          <w:rFonts w:hint="eastAsia"/>
          <w:lang w:val="en-US" w:eastAsia="zh-CN"/>
        </w:rPr>
        <w:t>反馈必要的证据材料</w:t>
      </w:r>
      <w:r>
        <w:rPr>
          <w:rFonts w:ascii="Times New Roman" w:hAnsi="Times New Roman" w:cs="Times New Roman"/>
          <w:color w:val="000000" w:themeColor="text1"/>
          <w14:textFill>
            <w14:solidFill>
              <w14:schemeClr w14:val="tx1"/>
            </w14:solidFill>
          </w14:textFill>
        </w:rPr>
        <w:t>，登记机构根据异议双方提交的证据材料形成异议处理结果，并反馈至异议双方；</w:t>
      </w:r>
      <w:r>
        <w:rPr>
          <w:rFonts w:hint="eastAsia" w:ascii="Times New Roman" w:hAnsi="Times New Roman" w:cs="Times New Roman"/>
          <w:color w:val="000000" w:themeColor="text1"/>
          <w:lang w:val="en-US" w:eastAsia="zh-CN"/>
          <w14:textFill>
            <w14:solidFill>
              <w14:schemeClr w14:val="tx1"/>
            </w14:solidFill>
          </w14:textFill>
        </w:rPr>
        <w:t>仍</w:t>
      </w:r>
      <w:r>
        <w:rPr>
          <w:rFonts w:ascii="Times New Roman" w:hAnsi="Times New Roman" w:cs="Times New Roman"/>
          <w:color w:val="000000" w:themeColor="text1"/>
          <w14:textFill>
            <w14:solidFill>
              <w14:schemeClr w14:val="tx1"/>
            </w14:solidFill>
          </w14:textFill>
        </w:rPr>
        <w:t>难以核实的，由异议双方协商解决，或通过仲裁机构、司法机关处理。</w:t>
      </w:r>
    </w:p>
    <w:p w14:paraId="602BA03D">
      <w:pPr>
        <w:pStyle w:val="12"/>
        <w:keepNext w:val="0"/>
        <w:keepLines w:val="0"/>
        <w:pageBreakBefore w:val="0"/>
        <w:kinsoku/>
        <w:wordWrap/>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14:ligatures w14:val="none"/>
        </w:rPr>
      </w:pPr>
      <w:r>
        <w:rPr>
          <w:rFonts w:ascii="Times New Roman" w:hAnsi="Times New Roman" w:cs="Times New Roman"/>
          <w:color w:val="000000" w:themeColor="text1"/>
          <w14:textFill>
            <w14:solidFill>
              <w14:schemeClr w14:val="tx1"/>
            </w14:solidFill>
          </w14:textFill>
        </w:rPr>
        <w:t>公示期满无异议的，</w:t>
      </w:r>
      <w:r>
        <w:rPr>
          <w:rFonts w:hint="eastAsia" w:ascii="Times New Roman" w:hAnsi="Times New Roman" w:cs="Times New Roman"/>
          <w:color w:val="000000" w:themeColor="text1"/>
          <w:lang w:val="en-US" w:eastAsia="zh-CN"/>
          <w14:textFill>
            <w14:solidFill>
              <w14:schemeClr w14:val="tx1"/>
            </w14:solidFill>
          </w14:textFill>
        </w:rPr>
        <w:t>具备权限的</w:t>
      </w:r>
      <w:r>
        <w:rPr>
          <w:rFonts w:ascii="Times New Roman" w:hAnsi="Times New Roman" w:cs="Times New Roman"/>
          <w:color w:val="000000" w:themeColor="text1"/>
          <w14:textFill>
            <w14:solidFill>
              <w14:schemeClr w14:val="tx1"/>
            </w14:solidFill>
          </w14:textFill>
        </w:rPr>
        <w:t>登记机构应按照统一编码规范</w:t>
      </w:r>
      <w:r>
        <w:rPr>
          <w:rFonts w:hint="eastAsia" w:ascii="Times New Roman" w:hAnsi="Times New Roman" w:cs="Times New Roman"/>
          <w:color w:val="000000" w:themeColor="text1"/>
          <w14:textFill>
            <w14:solidFill>
              <w14:schemeClr w14:val="tx1"/>
            </w14:solidFill>
          </w14:textFill>
        </w:rPr>
        <w:t>和相关规定</w:t>
      </w:r>
      <w:r>
        <w:rPr>
          <w:rFonts w:ascii="Times New Roman" w:hAnsi="Times New Roman" w:cs="Times New Roman"/>
          <w:color w:val="000000" w:themeColor="text1"/>
          <w14:textFill>
            <w14:solidFill>
              <w14:schemeClr w14:val="tx1"/>
            </w14:solidFill>
          </w14:textFill>
        </w:rPr>
        <w:t>向登记主体发放登记结果。</w:t>
      </w:r>
    </w:p>
    <w:p w14:paraId="3B1705C9">
      <w:pPr>
        <w:pStyle w:val="13"/>
        <w:keepNext w:val="0"/>
        <w:keepLines w:val="0"/>
        <w:pageBreakBefore w:val="0"/>
        <w:widowControl w:val="0"/>
        <w:kinsoku/>
        <w:wordWrap/>
        <w:overflowPunct/>
        <w:topLinePunct w:val="0"/>
        <w:autoSpaceDE/>
        <w:autoSpaceDN w:val="0"/>
        <w:bidi w:val="0"/>
        <w:adjustRightInd/>
        <w:snapToGrid/>
        <w:spacing w:before="313" w:beforeLines="100" w:after="313" w:afterLines="100" w:line="560" w:lineRule="exact"/>
        <w:ind w:left="0"/>
        <w:textAlignment w:val="auto"/>
        <w:rPr>
          <w:rFonts w:hint="eastAsia" w:cs="黑体"/>
          <w:b w:val="0"/>
          <w:bCs w:val="0"/>
        </w:rPr>
      </w:pPr>
      <w:r>
        <w:rPr>
          <w:rFonts w:ascii="Times New Roman" w:hAnsi="Times New Roman" w:cs="Times New Roman"/>
          <w:b w:val="0"/>
          <w:bCs w:val="0"/>
          <w:color w:val="000000" w:themeColor="text1"/>
          <w14:textFill>
            <w14:solidFill>
              <w14:schemeClr w14:val="tx1"/>
            </w14:solidFill>
          </w14:textFill>
        </w:rPr>
        <w:t>登记管理</w:t>
      </w:r>
    </w:p>
    <w:p w14:paraId="0EE594A1">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hint="eastAsia"/>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省数据管理部门负责统筹、协调、指导</w:t>
      </w:r>
      <w:r>
        <w:rPr>
          <w:rFonts w:hint="eastAsia" w:ascii="Times New Roman" w:hAnsi="Times New Roman" w:cs="Times New Roman"/>
          <w:color w:val="000000" w:themeColor="text1"/>
          <w:lang w:eastAsia="zh-CN"/>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监督全省公共数据资源登记工作，开展</w:t>
      </w:r>
      <w:r>
        <w:rPr>
          <w:rFonts w:hint="eastAsia"/>
          <w:color w:val="000000" w:themeColor="text1"/>
          <w14:textFill>
            <w14:solidFill>
              <w14:schemeClr w14:val="tx1"/>
            </w14:solidFill>
          </w14:textFill>
        </w:rPr>
        <w:t>全省</w:t>
      </w:r>
      <w:r>
        <w:rPr>
          <w:color w:val="000000" w:themeColor="text1"/>
          <w14:textFill>
            <w14:solidFill>
              <w14:schemeClr w14:val="tx1"/>
            </w14:solidFill>
          </w14:textFill>
        </w:rPr>
        <w:t>登记机构的服务水平评价，</w:t>
      </w:r>
      <w:r>
        <w:rPr>
          <w:rFonts w:ascii="Times New Roman" w:hAnsi="Times New Roman" w:cs="Times New Roman"/>
          <w:color w:val="000000" w:themeColor="text1"/>
          <w14:textFill>
            <w14:solidFill>
              <w14:schemeClr w14:val="tx1"/>
            </w14:solidFill>
          </w14:textFill>
        </w:rPr>
        <w:t>推进登记服务标准化，研究公共数据资源登记工作重大事项，协调解决重大问题</w:t>
      </w:r>
      <w:r>
        <w:rPr>
          <w:rFonts w:hint="eastAsia" w:ascii="Times New Roman" w:hAnsi="Times New Roman" w:cs="Times New Roman"/>
          <w:color w:val="000000" w:themeColor="text1"/>
          <w14:textFill>
            <w14:solidFill>
              <w14:schemeClr w14:val="tx1"/>
            </w14:solidFill>
          </w14:textFill>
        </w:rPr>
        <w:t>，强化数据共享、应用服务和安全保障</w:t>
      </w:r>
      <w:r>
        <w:rPr>
          <w:rFonts w:hint="eastAsia" w:ascii="Times New Roman" w:hAnsi="Times New Roman" w:cs="Times New Roman"/>
          <w:color w:val="000000" w:themeColor="text1"/>
          <w:lang w:eastAsia="zh-CN"/>
          <w14:textFill>
            <w14:solidFill>
              <w14:schemeClr w14:val="tx1"/>
            </w14:solidFill>
          </w14:textFill>
        </w:rPr>
        <w:t>，</w:t>
      </w:r>
      <w:r>
        <w:rPr>
          <w:color w:val="000000" w:themeColor="text1"/>
          <w14:textFill>
            <w14:solidFill>
              <w14:schemeClr w14:val="tx1"/>
            </w14:solidFill>
          </w14:textFill>
        </w:rPr>
        <w:t>推动公共数据资源登记管理工作持续优化。</w:t>
      </w:r>
    </w:p>
    <w:p w14:paraId="166D127D">
      <w:pPr>
        <w:pStyle w:val="15"/>
        <w:keepNext w:val="0"/>
        <w:keepLines w:val="0"/>
        <w:pageBreakBefore w:val="0"/>
        <w:widowControl w:val="0"/>
        <w:numPr>
          <w:ilvl w:val="0"/>
          <w:numId w:val="0"/>
        </w:numPr>
        <w:kinsoku/>
        <w:wordWrap/>
        <w:overflowPunct w:val="0"/>
        <w:topLinePunct w:val="0"/>
        <w:autoSpaceDE/>
        <w:autoSpaceDN w:val="0"/>
        <w:bidi w:val="0"/>
        <w:adjustRightInd/>
        <w:snapToGrid/>
        <w:spacing w:after="0" w:line="560" w:lineRule="exact"/>
        <w:ind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市级数据管理部门统筹开展本辖区公共数据资源登记工作，并接受上级主管部门的指导和监督。</w:t>
      </w:r>
    </w:p>
    <w:p w14:paraId="6EAEBBE0">
      <w:pPr>
        <w:pStyle w:val="12"/>
        <w:keepNext w:val="0"/>
        <w:keepLines w:val="0"/>
        <w:pageBreakBefore w:val="0"/>
        <w:kinsoku/>
        <w:wordWrap/>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lang w:val="en-US" w:eastAsia="zh-CN"/>
        </w:rPr>
        <w:t>本细则实施前已开展授权运营的，登记主体应按首次登记程序于本细则实施后的</w:t>
      </w:r>
      <w:r>
        <w:rPr>
          <w:rFonts w:hint="eastAsia" w:ascii="Times New Roman" w:hAnsi="Times New Roman" w:cs="Times New Roman"/>
          <w:lang w:val="en-US" w:eastAsia="zh-CN"/>
        </w:rPr>
        <w:t>30</w:t>
      </w:r>
      <w:r>
        <w:rPr>
          <w:rFonts w:hint="eastAsia"/>
          <w:lang w:val="en-US" w:eastAsia="zh-CN"/>
        </w:rPr>
        <w:t>个工作日内进行登记。登记结果自赋码之日起计算，有效期原则上为三年。</w:t>
      </w:r>
      <w:r>
        <w:rPr>
          <w:rFonts w:hint="eastAsia"/>
        </w:rPr>
        <w:t>登记结果有效期满，需要续期的，登记主体应当在期满前</w:t>
      </w:r>
      <w:r>
        <w:rPr>
          <w:rFonts w:ascii="Times New Roman" w:hAnsi="Times New Roman" w:cs="Times New Roman"/>
        </w:rPr>
        <w:t>60</w:t>
      </w:r>
      <w:r>
        <w:rPr>
          <w:rFonts w:hint="eastAsia"/>
        </w:rPr>
        <w:t>日内按照规定申请办理续展；在此期间未能办理的，可以给予</w:t>
      </w:r>
      <w:r>
        <w:rPr>
          <w:rFonts w:ascii="Times New Roman" w:hAnsi="Times New Roman" w:cs="Times New Roman"/>
        </w:rPr>
        <w:t>30</w:t>
      </w:r>
      <w:r>
        <w:rPr>
          <w:rFonts w:hint="eastAsia"/>
        </w:rPr>
        <w:t>日的宽展期。每次续展期最长为三年，自上一届有效期满次日起计算。期满未按规定续展的，由登记机构予以注销。</w:t>
      </w:r>
    </w:p>
    <w:p w14:paraId="7503C7A2">
      <w:pPr>
        <w:pStyle w:val="12"/>
        <w:keepNext w:val="0"/>
        <w:keepLines w:val="0"/>
        <w:pageBreakBefore w:val="0"/>
        <w:kinsoku/>
        <w:wordWrap/>
        <w:topLinePunct w:val="0"/>
        <w:autoSpaceDN w:val="0"/>
        <w:bidi w:val="0"/>
        <w:adjustRightInd/>
        <w:snapToGrid/>
        <w:spacing w:after="0" w:line="560" w:lineRule="exact"/>
        <w:ind w:left="0" w:firstLine="622" w:firstLineChars="200"/>
        <w:textAlignment w:val="auto"/>
        <w:rPr>
          <w:rFonts w:ascii="Times New Roman" w:hAnsi="Times New Roman" w:eastAsia="仿宋_GB2312" w:cs="Times New Roman"/>
          <w:sz w:val="32"/>
          <w:szCs w:val="32"/>
        </w:rPr>
      </w:pPr>
      <w:r>
        <w:rPr>
          <w:rFonts w:hint="eastAsia"/>
          <w:lang w:val="en-US" w:eastAsia="zh-CN"/>
        </w:rPr>
        <w:t>登记机构指导登记主体建立登记信息与公共数据资源目录关联，</w:t>
      </w:r>
      <w:r>
        <w:rPr>
          <w:rFonts w:ascii="Times New Roman" w:hAnsi="Times New Roman" w:cs="Times New Roman"/>
          <w:color w:val="000000" w:themeColor="text1"/>
          <w14:textFill>
            <w14:solidFill>
              <w14:schemeClr w14:val="tx1"/>
            </w14:solidFill>
          </w14:textFill>
        </w:rPr>
        <w:t>完善公共数据资源目录</w:t>
      </w:r>
      <w:r>
        <w:rPr>
          <w:rFonts w:hint="eastAsia" w:ascii="Times New Roman" w:hAnsi="Times New Roman" w:cs="Times New Roman"/>
          <w:color w:val="000000" w:themeColor="text1"/>
          <w:lang w:eastAsia="zh-CN"/>
          <w14:textFill>
            <w14:solidFill>
              <w14:schemeClr w14:val="tx1"/>
            </w14:solidFill>
          </w14:textFill>
        </w:rPr>
        <w:t>。</w:t>
      </w:r>
    </w:p>
    <w:p w14:paraId="0C6903E0">
      <w:pPr>
        <w:pStyle w:val="12"/>
        <w:keepNext w:val="0"/>
        <w:keepLines w:val="0"/>
        <w:pageBreakBefore w:val="0"/>
        <w:kinsoku/>
        <w:wordWrap/>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登记机构可通过登记主体授权的方式，调用、查询电子证照、电子证明等信息，自动填写相关登记信息或依法依规对相关信息进行查询与核验。采用先进技术手段和管理方法，不断优化和完善登记服务流程，提升登记服务效率。</w:t>
      </w:r>
    </w:p>
    <w:p w14:paraId="3A8EDEF8">
      <w:pPr>
        <w:pStyle w:val="12"/>
        <w:keepNext w:val="0"/>
        <w:keepLines w:val="0"/>
        <w:pageBreakBefore w:val="0"/>
        <w:kinsoku/>
        <w:wordWrap/>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登记资料中属于归档范围的，登记机构应按照相关法律、行政法规的规定进行归档管理。</w:t>
      </w:r>
    </w:p>
    <w:p w14:paraId="17CBB148">
      <w:pPr>
        <w:pStyle w:val="13"/>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textAlignment w:val="auto"/>
        <w:rPr>
          <w:rFonts w:hint="eastAsia" w:cs="黑体"/>
          <w:b w:val="0"/>
          <w:bCs w:val="0"/>
        </w:rPr>
      </w:pPr>
      <w:r>
        <w:rPr>
          <w:rFonts w:ascii="Times New Roman" w:hAnsi="Times New Roman" w:cs="Times New Roman"/>
          <w:b w:val="0"/>
          <w:bCs w:val="0"/>
          <w:color w:val="000000" w:themeColor="text1"/>
          <w14:textFill>
            <w14:solidFill>
              <w14:schemeClr w14:val="tx1"/>
            </w14:solidFill>
          </w14:textFill>
        </w:rPr>
        <w:t>监督管理</w:t>
      </w:r>
    </w:p>
    <w:p w14:paraId="63DC4431">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全省公共数据资源登记工作实行分级监督管理。各级数据管理部门负责</w:t>
      </w:r>
      <w:r>
        <w:rPr>
          <w:rFonts w:hint="eastAsia" w:ascii="Times New Roman" w:hAnsi="Times New Roman" w:cs="Times New Roman"/>
          <w:color w:val="000000" w:themeColor="text1"/>
          <w:lang w:val="en-US" w:eastAsia="zh-CN"/>
          <w14:textFill>
            <w14:solidFill>
              <w14:schemeClr w14:val="tx1"/>
            </w14:solidFill>
          </w14:textFill>
        </w:rPr>
        <w:t>组织开展</w:t>
      </w:r>
      <w:r>
        <w:rPr>
          <w:rFonts w:hint="eastAsia" w:ascii="Times New Roman" w:hAnsi="Times New Roman" w:cs="Times New Roman"/>
          <w:color w:val="000000" w:themeColor="text1"/>
          <w14:textFill>
            <w14:solidFill>
              <w14:schemeClr w14:val="tx1"/>
            </w14:solidFill>
          </w14:textFill>
        </w:rPr>
        <w:t>本辖区</w:t>
      </w:r>
      <w:r>
        <w:rPr>
          <w:rFonts w:ascii="Times New Roman" w:hAnsi="Times New Roman" w:cs="Times New Roman"/>
          <w:color w:val="000000" w:themeColor="text1"/>
          <w14:textFill>
            <w14:solidFill>
              <w14:schemeClr w14:val="tx1"/>
            </w14:solidFill>
          </w14:textFill>
        </w:rPr>
        <w:t>公共数据资源登记</w:t>
      </w:r>
      <w:r>
        <w:rPr>
          <w:rFonts w:hint="eastAsia" w:ascii="Times New Roman" w:hAnsi="Times New Roman" w:cs="Times New Roman"/>
          <w:color w:val="000000" w:themeColor="text1"/>
          <w:lang w:val="en-US" w:eastAsia="zh-CN"/>
          <w14:textFill>
            <w14:solidFill>
              <w14:schemeClr w14:val="tx1"/>
            </w14:solidFill>
          </w14:textFill>
        </w:rPr>
        <w:t>监督工作</w:t>
      </w:r>
      <w:r>
        <w:rPr>
          <w:rFonts w:ascii="Times New Roman" w:hAnsi="Times New Roman" w:cs="Times New Roman"/>
          <w:color w:val="000000" w:themeColor="text1"/>
          <w14:textFill>
            <w14:solidFill>
              <w14:schemeClr w14:val="tx1"/>
            </w14:solidFill>
          </w14:textFill>
        </w:rPr>
        <w:t>，</w:t>
      </w:r>
      <w:r>
        <w:rPr>
          <w:rFonts w:hint="eastAsia" w:ascii="Times New Roman" w:hAnsi="Times New Roman" w:cs="Times New Roman"/>
          <w:color w:val="000000" w:themeColor="text1"/>
          <w14:textFill>
            <w14:solidFill>
              <w14:schemeClr w14:val="tx1"/>
            </w14:solidFill>
          </w14:textFill>
        </w:rPr>
        <w:t>与</w:t>
      </w:r>
      <w:r>
        <w:rPr>
          <w:rFonts w:ascii="Times New Roman" w:hAnsi="Times New Roman" w:cs="Times New Roman"/>
          <w:color w:val="000000" w:themeColor="text1"/>
          <w14:textFill>
            <w14:solidFill>
              <w14:schemeClr w14:val="tx1"/>
            </w14:solidFill>
          </w14:textFill>
        </w:rPr>
        <w:t>网信、公安、国家安全等有关部门在各自职责范围内做好公共数据资源登记监督管理工作。</w:t>
      </w:r>
    </w:p>
    <w:p w14:paraId="49BA53FD">
      <w:pPr>
        <w:pStyle w:val="11"/>
        <w:keepNext w:val="0"/>
        <w:keepLines w:val="0"/>
        <w:pageBreakBefore w:val="0"/>
        <w:kinsoku/>
        <w:wordWrap/>
        <w:topLinePunct w:val="0"/>
        <w:autoSpaceDN w:val="0"/>
        <w:bidi w:val="0"/>
        <w:adjustRightInd/>
        <w:snapToGrid/>
        <w:spacing w:after="0" w:line="560" w:lineRule="exact"/>
        <w:ind w:firstLine="613"/>
        <w:textAlignment w:val="auto"/>
        <w:rPr>
          <w:rFonts w:ascii="Times New Roman" w:hAnsi="Times New Roman" w:cs="Times New Roman"/>
          <w:color w:val="000000" w:themeColor="text1"/>
          <w14:textFill>
            <w14:solidFill>
              <w14:schemeClr w14:val="tx1"/>
            </w14:solidFill>
          </w14:textFill>
          <w14:ligatures w14:val="none"/>
        </w:rPr>
      </w:pPr>
      <w:r>
        <w:rPr>
          <w:rFonts w:ascii="Times New Roman" w:hAnsi="Times New Roman" w:cs="Times New Roman"/>
          <w:color w:val="000000" w:themeColor="text1"/>
          <w14:textFill>
            <w14:solidFill>
              <w14:schemeClr w14:val="tx1"/>
            </w14:solidFill>
          </w14:textFill>
        </w:rPr>
        <w:t>各</w:t>
      </w:r>
      <w:r>
        <w:rPr>
          <w:rFonts w:hint="eastAsia" w:ascii="Times New Roman" w:hAnsi="Times New Roman" w:cs="Times New Roman"/>
          <w:color w:val="000000" w:themeColor="text1"/>
          <w:lang w:val="en-US" w:eastAsia="zh-CN"/>
          <w14:textFill>
            <w14:solidFill>
              <w14:schemeClr w14:val="tx1"/>
            </w14:solidFill>
          </w14:textFill>
        </w:rPr>
        <w:t>级</w:t>
      </w:r>
      <w:r>
        <w:rPr>
          <w:rFonts w:ascii="Times New Roman" w:hAnsi="Times New Roman" w:cs="Times New Roman"/>
          <w:color w:val="000000" w:themeColor="text1"/>
          <w14:textFill>
            <w14:solidFill>
              <w14:schemeClr w14:val="tx1"/>
            </w14:solidFill>
          </w14:textFill>
        </w:rPr>
        <w:t>行业主管部门指导、推动</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监督本行业公共数据资源依法依规登记。</w:t>
      </w:r>
    </w:p>
    <w:p w14:paraId="7601752E">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hint="eastAsia"/>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除法律法规规定或数据管理部门同意外，登记机构不得将由登记信息统计、分析形成的有关信息进行披露或对外提供</w:t>
      </w:r>
      <w:r>
        <w:rPr>
          <w:rFonts w:hint="eastAsia" w:ascii="Times New Roman" w:hAnsi="Times New Roman" w:cs="Times New Roman"/>
          <w:color w:val="000000" w:themeColor="text1"/>
          <w14:textFill>
            <w14:solidFill>
              <w14:schemeClr w14:val="tx1"/>
            </w14:solidFill>
          </w14:textFill>
        </w:rPr>
        <w:t>，不得利用登记信息不当获利。</w:t>
      </w:r>
    </w:p>
    <w:p w14:paraId="5237D08C">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eastAsia="仿宋_GB2312" w:cs="Times New Roman"/>
          <w:sz w:val="32"/>
          <w:szCs w:val="32"/>
        </w:rPr>
      </w:pPr>
      <w:r>
        <w:rPr>
          <w:rFonts w:ascii="Times New Roman" w:hAnsi="Times New Roman" w:cs="Times New Roman"/>
          <w:color w:val="000000" w:themeColor="text1"/>
          <w14:textFill>
            <w14:solidFill>
              <w14:schemeClr w14:val="tx1"/>
            </w14:solidFill>
          </w14:textFill>
        </w:rPr>
        <w:t>任何单位和个人不得伪造、变造或使用伪造、变造的登记结果</w:t>
      </w:r>
      <w:r>
        <w:rPr>
          <w:rFonts w:hint="eastAsia" w:ascii="Times New Roman" w:hAnsi="Times New Roman" w:cs="Times New Roman"/>
          <w:color w:val="000000" w:themeColor="text1"/>
          <w14:textFill>
            <w14:solidFill>
              <w14:schemeClr w14:val="tx1"/>
            </w14:solidFill>
          </w14:textFill>
        </w:rPr>
        <w:t>。</w:t>
      </w:r>
      <w:r>
        <w:rPr>
          <w:rFonts w:hint="eastAsia"/>
        </w:rPr>
        <w:t>存在违反有关法律行为的，依法承担相关责任；构成犯罪的，依法追究刑事责任。</w:t>
      </w:r>
    </w:p>
    <w:p w14:paraId="7142D68E">
      <w:pPr>
        <w:pStyle w:val="13"/>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textAlignment w:val="auto"/>
        <w:rPr>
          <w:rFonts w:ascii="Times New Roman" w:hAnsi="Times New Roman" w:eastAsia="仿宋_GB2312" w:cs="Times New Roman"/>
          <w:sz w:val="32"/>
          <w:szCs w:val="32"/>
        </w:rPr>
      </w:pPr>
      <w:r>
        <w:rPr>
          <w:rFonts w:hint="eastAsia" w:cs="黑体"/>
          <w:b w:val="0"/>
          <w:bCs w:val="0"/>
          <w:spacing w:val="160"/>
          <w:kern w:val="0"/>
          <w:fitText w:val="960" w:id="477960536"/>
        </w:rPr>
        <w:t>附</w:t>
      </w:r>
      <w:r>
        <w:rPr>
          <w:rFonts w:hint="eastAsia" w:cs="黑体"/>
          <w:b w:val="0"/>
          <w:bCs w:val="0"/>
          <w:spacing w:val="0"/>
          <w:kern w:val="0"/>
          <w:fitText w:val="960" w:id="477960536"/>
        </w:rPr>
        <w:t>则</w:t>
      </w:r>
    </w:p>
    <w:p w14:paraId="2BE68A4C">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本细则由吉林省政务服务和数字化建设管理局负责解释。</w:t>
      </w:r>
    </w:p>
    <w:p w14:paraId="4654417A">
      <w:pPr>
        <w:pStyle w:val="12"/>
        <w:keepNext w:val="0"/>
        <w:keepLines w:val="0"/>
        <w:pageBreakBefore w:val="0"/>
        <w:kinsoku/>
        <w:wordWrap/>
        <w:overflowPunct w:val="0"/>
        <w:topLinePunct w:val="0"/>
        <w:autoSpaceDN w:val="0"/>
        <w:bidi w:val="0"/>
        <w:adjustRightInd/>
        <w:snapToGrid/>
        <w:spacing w:after="0" w:line="560" w:lineRule="exact"/>
        <w:ind w:left="0" w:firstLine="622" w:firstLineChars="200"/>
        <w:textAlignment w:val="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本细则自发布之日起实施，试行期2年。</w:t>
      </w:r>
      <w:bookmarkStart w:id="1" w:name="_GoBack"/>
      <w:r>
        <w:rPr>
          <w:rFonts w:ascii="Times New Roman" w:hAnsi="Times New Roman" w:cs="Times New Roman"/>
          <w:color w:val="000000" w:themeColor="text1"/>
          <w14:textFill>
            <w14:solidFill>
              <w14:schemeClr w14:val="tx1"/>
            </w14:solidFill>
          </w14:textFill>
        </w:rPr>
        <w:t>期间</w:t>
      </w:r>
      <w:bookmarkEnd w:id="1"/>
      <w:r>
        <w:rPr>
          <w:rFonts w:ascii="Times New Roman" w:hAnsi="Times New Roman" w:cs="Times New Roman"/>
          <w:color w:val="000000" w:themeColor="text1"/>
          <w14:textFill>
            <w14:solidFill>
              <w14:schemeClr w14:val="tx1"/>
            </w14:solidFill>
          </w14:textFill>
        </w:rPr>
        <w:t>，法律法规、国家政策和吉林省人民政府等对公共数据资源登记管理有新规定的，从其规定。</w:t>
      </w:r>
    </w:p>
    <w:p w14:paraId="7EE2C41C">
      <w:pPr>
        <w:keepNext w:val="0"/>
        <w:keepLines w:val="0"/>
        <w:pageBreakBefore w:val="0"/>
        <w:kinsoku/>
        <w:wordWrap/>
        <w:topLinePunct w:val="0"/>
        <w:bidi w:val="0"/>
        <w:adjustRightInd/>
        <w:snapToGrid/>
        <w:spacing w:line="576" w:lineRule="exact"/>
        <w:textAlignment w:val="auto"/>
      </w:pPr>
    </w:p>
    <w:sectPr>
      <w:footerReference r:id="rId5" w:type="default"/>
      <w:pgSz w:w="11906" w:h="16838"/>
      <w:pgMar w:top="2098" w:right="1474" w:bottom="1985" w:left="1588" w:header="851" w:footer="992" w:gutter="0"/>
      <w:cols w:space="425" w:num="1"/>
      <w:docGrid w:type="linesAndChars"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B7EA41-A5F8-4C64-A4A4-84DED16245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7F" w:usb3="00000000" w:csb0="203F01FF" w:csb1="DFFF0000"/>
  </w:font>
  <w:font w:name="仿宋_GB2312">
    <w:altName w:val="仿宋"/>
    <w:panose1 w:val="02010609030101010101"/>
    <w:charset w:val="86"/>
    <w:family w:val="modern"/>
    <w:pitch w:val="default"/>
    <w:sig w:usb0="00000000" w:usb1="00000000" w:usb2="00000000" w:usb3="00000000" w:csb0="00040000" w:csb1="00000000"/>
    <w:embedRegular r:id="rId2" w:fontKey="{0B170B71-F4B7-40CE-9711-9759F268E72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3" w:fontKey="{FE56DF04-05E1-4EF5-8029-55A319213DA0}"/>
  </w:font>
  <w:font w:name="方正小标宋简体">
    <w:panose1 w:val="02000000000000000000"/>
    <w:charset w:val="86"/>
    <w:family w:val="auto"/>
    <w:pitch w:val="default"/>
    <w:sig w:usb0="00000001" w:usb1="08000000" w:usb2="00000000" w:usb3="00000000" w:csb0="00040000" w:csb1="00000000"/>
    <w:embedRegular r:id="rId4" w:fontKey="{446661B2-212B-4566-AB50-58BD85B0B917}"/>
  </w:font>
  <w:font w:name="方正仿宋_GB2312">
    <w:panose1 w:val="02000000000000000000"/>
    <w:charset w:val="86"/>
    <w:family w:val="auto"/>
    <w:pitch w:val="default"/>
    <w:sig w:usb0="A00002BF" w:usb1="184F6CFA" w:usb2="00000012" w:usb3="00000000" w:csb0="00040001" w:csb1="00000000"/>
    <w:embedRegular r:id="rId5" w:fontKey="{07208053-6B95-4F19-AF7A-29930504317E}"/>
  </w:font>
  <w:font w:name="Times New Roman Regular">
    <w:altName w:val="Times New Roman"/>
    <w:panose1 w:val="02020503050405090304"/>
    <w:charset w:val="00"/>
    <w:family w:val="auto"/>
    <w:pitch w:val="default"/>
    <w:sig w:usb0="00000000" w:usb1="00000000" w:usb2="00000001" w:usb3="00000000" w:csb0="400001BF" w:csb1="DFF70000"/>
    <w:embedRegular r:id="rId6" w:fontKey="{8EB8D6AA-E0FF-4B60-A432-D7D074C04E4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58D6">
    <w:pPr>
      <w:pStyle w:val="5"/>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2378075</wp:posOffset>
              </wp:positionH>
              <wp:positionV relativeFrom="paragraph">
                <wp:posOffset>177800</wp:posOffset>
              </wp:positionV>
              <wp:extent cx="95123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1230"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DD5A">
                          <w:pPr>
                            <w:jc w:val="center"/>
                            <w:rPr>
                              <w:rFonts w:hint="eastAsia"/>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14:paraId="1EFAC347">
                          <w:pPr>
                            <w:jc w:val="center"/>
                            <w:rPr>
                              <w:rFonts w:hint="eastAsia"/>
                            </w:rPr>
                          </w:pPr>
                          <w:r>
                            <w:rPr>
                              <w:rFonts w:hint="eastAsia" w:ascii="宋体" w:hAnsi="宋体" w:eastAsia="宋体"/>
                              <w:sz w:val="28"/>
                              <w:szCs w:val="28"/>
                            </w:rPr>
                            <w:t>—</w:t>
                          </w:r>
                        </w:p>
                        <w:p w14:paraId="15223EC2">
                          <w:pPr>
                            <w:jc w:val="center"/>
                            <w:rPr>
                              <w:rFonts w:hint="eastAsia"/>
                            </w:rPr>
                          </w:pPr>
                          <w:r>
                            <w:rPr>
                              <w:rFonts w:hint="eastAsia" w:ascii="宋体" w:hAnsi="宋体" w:eastAsia="宋体"/>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7.25pt;margin-top:14pt;height:22.1pt;width:74.9pt;mso-position-horizontal-relative:margin;z-index:251659264;mso-width-relative:page;mso-height-relative:page;" filled="f" stroked="f" coordsize="21600,21600" o:gfxdata="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KcLY3ZAAAACQEAAA8AAAAAAAAAAQAgAAAAIgAAAGRycy9kb3ducmV2Lnht&#10;bFBLAQIUABQAAAAIAIdO4kAjC3nQMQIAAFUEAAAOAAAAAAAAAAEAIAAAACgBAABkcnMvZTJvRG9j&#10;LnhtbFBLBQYAAAAABgAGAFkBAADLBQAAAAA=&#10;">
              <v:fill on="f" focussize="0,0"/>
              <v:stroke on="f" weight="0.5pt"/>
              <v:imagedata o:title=""/>
              <o:lock v:ext="edit" aspectratio="f"/>
              <v:textbox inset="0mm,0mm,0mm,0mm">
                <w:txbxContent>
                  <w:p w14:paraId="7DAADD5A">
                    <w:pPr>
                      <w:jc w:val="center"/>
                      <w:rPr>
                        <w:rFonts w:hint="eastAsia"/>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p>
                  <w:p w14:paraId="1EFAC347">
                    <w:pPr>
                      <w:jc w:val="center"/>
                      <w:rPr>
                        <w:rFonts w:hint="eastAsia"/>
                      </w:rPr>
                    </w:pPr>
                    <w:r>
                      <w:rPr>
                        <w:rFonts w:hint="eastAsia" w:ascii="宋体" w:hAnsi="宋体" w:eastAsia="宋体"/>
                        <w:sz w:val="28"/>
                        <w:szCs w:val="28"/>
                      </w:rPr>
                      <w:t>—</w:t>
                    </w:r>
                  </w:p>
                  <w:p w14:paraId="15223EC2">
                    <w:pPr>
                      <w:jc w:val="center"/>
                      <w:rPr>
                        <w:rFonts w:hint="eastAsia"/>
                      </w:rPr>
                    </w:pPr>
                    <w:r>
                      <w:rPr>
                        <w:rFonts w:hint="eastAsia" w:ascii="宋体" w:hAnsi="宋体" w:eastAsia="宋体"/>
                        <w:sz w:val="28"/>
                        <w:szCs w:val="28"/>
                      </w:rPr>
                      <w:t>—</w:t>
                    </w:r>
                  </w:p>
                </w:txbxContent>
              </v:textbox>
            </v:shape>
          </w:pict>
        </mc:Fallback>
      </mc:AlternateContent>
    </w:r>
  </w:p>
  <w:p w14:paraId="4A57EC1F">
    <w:pPr>
      <w:pStyle w:val="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C00D09"/>
    <w:multiLevelType w:val="multilevel"/>
    <w:tmpl w:val="33C00D09"/>
    <w:lvl w:ilvl="0" w:tentative="0">
      <w:start w:val="1"/>
      <w:numFmt w:val="chineseCountingThousand"/>
      <w:pStyle w:val="12"/>
      <w:suff w:val="nothing"/>
      <w:lvlText w:val="第%1条　"/>
      <w:lvlJc w:val="left"/>
      <w:pPr>
        <w:ind w:left="1433" w:hanging="440"/>
      </w:pPr>
      <w:rPr>
        <w:rFonts w:hint="eastAsia" w:ascii="仿宋_GB2312" w:eastAsia="仿宋_GB2312"/>
        <w:b/>
        <w:bCs/>
        <w:i w:val="0"/>
        <w:iCs w:val="0"/>
        <w:strike w:val="0"/>
        <w:color w:val="000000" w:themeColor="text1"/>
        <w:sz w:val="32"/>
        <w:szCs w:val="32"/>
        <w:shd w:val="clear" w:color="auto" w:fill="auto"/>
        <w:lang w:val="en-US"/>
        <w14:textFill>
          <w14:solidFill>
            <w14:schemeClr w14:val="tx1"/>
          </w14:solidFill>
        </w14:textFill>
      </w:rPr>
    </w:lvl>
    <w:lvl w:ilvl="1" w:tentative="0">
      <w:start w:val="1"/>
      <w:numFmt w:val="lowerLetter"/>
      <w:lvlText w:val="%2)"/>
      <w:lvlJc w:val="left"/>
      <w:pPr>
        <w:ind w:left="2549" w:hanging="440"/>
      </w:pPr>
    </w:lvl>
    <w:lvl w:ilvl="2" w:tentative="0">
      <w:start w:val="1"/>
      <w:numFmt w:val="lowerRoman"/>
      <w:lvlText w:val="%3."/>
      <w:lvlJc w:val="right"/>
      <w:pPr>
        <w:ind w:left="2989" w:hanging="440"/>
      </w:pPr>
    </w:lvl>
    <w:lvl w:ilvl="3" w:tentative="0">
      <w:start w:val="1"/>
      <w:numFmt w:val="decimal"/>
      <w:lvlText w:val="%4."/>
      <w:lvlJc w:val="left"/>
      <w:pPr>
        <w:ind w:left="3429" w:hanging="440"/>
      </w:pPr>
    </w:lvl>
    <w:lvl w:ilvl="4" w:tentative="0">
      <w:start w:val="1"/>
      <w:numFmt w:val="lowerLetter"/>
      <w:lvlText w:val="%5)"/>
      <w:lvlJc w:val="left"/>
      <w:pPr>
        <w:ind w:left="3869" w:hanging="440"/>
      </w:pPr>
    </w:lvl>
    <w:lvl w:ilvl="5" w:tentative="0">
      <w:start w:val="1"/>
      <w:numFmt w:val="lowerRoman"/>
      <w:lvlText w:val="%6."/>
      <w:lvlJc w:val="right"/>
      <w:pPr>
        <w:ind w:left="4309" w:hanging="440"/>
      </w:pPr>
    </w:lvl>
    <w:lvl w:ilvl="6" w:tentative="0">
      <w:start w:val="1"/>
      <w:numFmt w:val="decimal"/>
      <w:lvlText w:val="%7."/>
      <w:lvlJc w:val="left"/>
      <w:pPr>
        <w:ind w:left="4749" w:hanging="440"/>
      </w:pPr>
    </w:lvl>
    <w:lvl w:ilvl="7" w:tentative="0">
      <w:start w:val="1"/>
      <w:numFmt w:val="lowerLetter"/>
      <w:lvlText w:val="%8)"/>
      <w:lvlJc w:val="left"/>
      <w:pPr>
        <w:ind w:left="5189" w:hanging="440"/>
      </w:pPr>
    </w:lvl>
    <w:lvl w:ilvl="8" w:tentative="0">
      <w:start w:val="1"/>
      <w:numFmt w:val="lowerRoman"/>
      <w:lvlText w:val="%9."/>
      <w:lvlJc w:val="right"/>
      <w:pPr>
        <w:ind w:left="5629" w:hanging="440"/>
      </w:pPr>
    </w:lvl>
  </w:abstractNum>
  <w:abstractNum w:abstractNumId="1">
    <w:nsid w:val="4BA71D29"/>
    <w:multiLevelType w:val="multilevel"/>
    <w:tmpl w:val="4BA71D29"/>
    <w:lvl w:ilvl="0" w:tentative="0">
      <w:start w:val="1"/>
      <w:numFmt w:val="chineseCountingThousand"/>
      <w:pStyle w:val="13"/>
      <w:suff w:val="nothing"/>
      <w:lvlText w:val="第%1章　"/>
      <w:lvlJc w:val="center"/>
      <w:pPr>
        <w:ind w:left="3842" w:hanging="440"/>
      </w:pPr>
      <w:rPr>
        <w:rFonts w:hint="eastAsia" w:ascii="黑体" w:hAnsi="黑体" w:eastAsia="黑体"/>
        <w:b w:val="0"/>
        <w:bCs w:val="0"/>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C0A5FEC"/>
    <w:multiLevelType w:val="multilevel"/>
    <w:tmpl w:val="4C0A5FEC"/>
    <w:lvl w:ilvl="0" w:tentative="0">
      <w:start w:val="1"/>
      <w:numFmt w:val="chineseCountingThousand"/>
      <w:pStyle w:val="16"/>
      <w:suff w:val="nothing"/>
      <w:lvlText w:val="（%1）"/>
      <w:lvlJc w:val="left"/>
      <w:pPr>
        <w:ind w:left="1080" w:hanging="1080"/>
      </w:pPr>
      <w:rPr>
        <w:rFonts w:hint="eastAsia"/>
        <w:color w:val="auto"/>
        <w:sz w:val="32"/>
        <w:szCs w:val="32"/>
      </w:rPr>
    </w:lvl>
    <w:lvl w:ilvl="1" w:tentative="0">
      <w:start w:val="1"/>
      <w:numFmt w:val="lowerLetter"/>
      <w:lvlText w:val="%2)"/>
      <w:lvlJc w:val="left"/>
      <w:pPr>
        <w:ind w:left="1554" w:hanging="440"/>
      </w:pPr>
      <w:rPr>
        <w:rFonts w:hint="eastAsia"/>
      </w:rPr>
    </w:lvl>
    <w:lvl w:ilvl="2" w:tentative="0">
      <w:start w:val="1"/>
      <w:numFmt w:val="lowerRoman"/>
      <w:lvlText w:val="%3."/>
      <w:lvlJc w:val="right"/>
      <w:pPr>
        <w:ind w:left="1994" w:hanging="440"/>
      </w:pPr>
      <w:rPr>
        <w:rFonts w:hint="eastAsia"/>
      </w:rPr>
    </w:lvl>
    <w:lvl w:ilvl="3" w:tentative="0">
      <w:start w:val="1"/>
      <w:numFmt w:val="decimal"/>
      <w:suff w:val="space"/>
      <w:lvlText w:val="%4."/>
      <w:lvlJc w:val="left"/>
      <w:pPr>
        <w:ind w:left="2434" w:hanging="440"/>
      </w:pPr>
      <w:rPr>
        <w:rFonts w:hint="eastAsia"/>
        <w:color w:val="000000" w:themeColor="text1"/>
        <w14:textFill>
          <w14:solidFill>
            <w14:schemeClr w14:val="tx1"/>
          </w14:solidFill>
        </w14:textFill>
      </w:rPr>
    </w:lvl>
    <w:lvl w:ilvl="4" w:tentative="0">
      <w:start w:val="1"/>
      <w:numFmt w:val="lowerLetter"/>
      <w:lvlText w:val="%5)"/>
      <w:lvlJc w:val="left"/>
      <w:pPr>
        <w:ind w:left="2874" w:hanging="440"/>
      </w:pPr>
      <w:rPr>
        <w:rFonts w:hint="eastAsia"/>
      </w:rPr>
    </w:lvl>
    <w:lvl w:ilvl="5" w:tentative="0">
      <w:start w:val="1"/>
      <w:numFmt w:val="lowerRoman"/>
      <w:lvlText w:val="%6."/>
      <w:lvlJc w:val="right"/>
      <w:pPr>
        <w:ind w:left="3314" w:hanging="440"/>
      </w:pPr>
      <w:rPr>
        <w:rFonts w:hint="eastAsia"/>
      </w:rPr>
    </w:lvl>
    <w:lvl w:ilvl="6" w:tentative="0">
      <w:start w:val="1"/>
      <w:numFmt w:val="decimal"/>
      <w:lvlText w:val="%7."/>
      <w:lvlJc w:val="left"/>
      <w:pPr>
        <w:ind w:left="3754" w:hanging="440"/>
      </w:pPr>
      <w:rPr>
        <w:rFonts w:hint="eastAsia"/>
      </w:rPr>
    </w:lvl>
    <w:lvl w:ilvl="7" w:tentative="0">
      <w:start w:val="1"/>
      <w:numFmt w:val="lowerLetter"/>
      <w:lvlText w:val="%8)"/>
      <w:lvlJc w:val="left"/>
      <w:pPr>
        <w:ind w:left="4194" w:hanging="440"/>
      </w:pPr>
      <w:rPr>
        <w:rFonts w:hint="eastAsia"/>
      </w:rPr>
    </w:lvl>
    <w:lvl w:ilvl="8" w:tentative="0">
      <w:start w:val="1"/>
      <w:numFmt w:val="lowerRoman"/>
      <w:lvlText w:val="%9."/>
      <w:lvlJc w:val="right"/>
      <w:pPr>
        <w:ind w:left="4634" w:hanging="44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9744B"/>
    <w:rsid w:val="007A1658"/>
    <w:rsid w:val="00E85CF7"/>
    <w:rsid w:val="01086C64"/>
    <w:rsid w:val="01B916AE"/>
    <w:rsid w:val="01F40F97"/>
    <w:rsid w:val="02296E92"/>
    <w:rsid w:val="02353A89"/>
    <w:rsid w:val="023D0B8F"/>
    <w:rsid w:val="02502671"/>
    <w:rsid w:val="02830945"/>
    <w:rsid w:val="03622455"/>
    <w:rsid w:val="03977E2B"/>
    <w:rsid w:val="03C76963"/>
    <w:rsid w:val="03C84489"/>
    <w:rsid w:val="03D1333D"/>
    <w:rsid w:val="03EA43FF"/>
    <w:rsid w:val="044629CE"/>
    <w:rsid w:val="04812FB5"/>
    <w:rsid w:val="049D3B67"/>
    <w:rsid w:val="04CD61FB"/>
    <w:rsid w:val="056D52E8"/>
    <w:rsid w:val="05A57242"/>
    <w:rsid w:val="05C148D2"/>
    <w:rsid w:val="05C33C07"/>
    <w:rsid w:val="05C70E9C"/>
    <w:rsid w:val="05EE5EAB"/>
    <w:rsid w:val="061F5699"/>
    <w:rsid w:val="066F6FA2"/>
    <w:rsid w:val="069A65B0"/>
    <w:rsid w:val="06F07C0E"/>
    <w:rsid w:val="07204535"/>
    <w:rsid w:val="07272687"/>
    <w:rsid w:val="07645921"/>
    <w:rsid w:val="07651475"/>
    <w:rsid w:val="077E71C0"/>
    <w:rsid w:val="079E79DA"/>
    <w:rsid w:val="07F910B5"/>
    <w:rsid w:val="082D6FB0"/>
    <w:rsid w:val="0830170A"/>
    <w:rsid w:val="084A1910"/>
    <w:rsid w:val="08517143"/>
    <w:rsid w:val="085D1644"/>
    <w:rsid w:val="08646E76"/>
    <w:rsid w:val="088E3EF3"/>
    <w:rsid w:val="089332B7"/>
    <w:rsid w:val="08AA0601"/>
    <w:rsid w:val="08B65C4C"/>
    <w:rsid w:val="09095C3F"/>
    <w:rsid w:val="0913264A"/>
    <w:rsid w:val="09265ED9"/>
    <w:rsid w:val="09280895"/>
    <w:rsid w:val="0978425B"/>
    <w:rsid w:val="097E7AC3"/>
    <w:rsid w:val="0A033204"/>
    <w:rsid w:val="0A1B42AE"/>
    <w:rsid w:val="0A570314"/>
    <w:rsid w:val="0A917CCA"/>
    <w:rsid w:val="0ADB7197"/>
    <w:rsid w:val="0AE71648"/>
    <w:rsid w:val="0B10147E"/>
    <w:rsid w:val="0B5B6529"/>
    <w:rsid w:val="0BC348DB"/>
    <w:rsid w:val="0BE107DE"/>
    <w:rsid w:val="0BEF2C34"/>
    <w:rsid w:val="0BF57DE5"/>
    <w:rsid w:val="0C0F534B"/>
    <w:rsid w:val="0CD67C16"/>
    <w:rsid w:val="0D244E26"/>
    <w:rsid w:val="0D660F9A"/>
    <w:rsid w:val="0DA6583B"/>
    <w:rsid w:val="0DBA7538"/>
    <w:rsid w:val="0DBC0BBA"/>
    <w:rsid w:val="0DF04D08"/>
    <w:rsid w:val="0E4515A5"/>
    <w:rsid w:val="0E7F75ED"/>
    <w:rsid w:val="0EB977F0"/>
    <w:rsid w:val="0EBB3568"/>
    <w:rsid w:val="0F753717"/>
    <w:rsid w:val="0F7A2ADB"/>
    <w:rsid w:val="0F81030D"/>
    <w:rsid w:val="0FC14B5C"/>
    <w:rsid w:val="0FC30926"/>
    <w:rsid w:val="0FC85F3C"/>
    <w:rsid w:val="0FD3043D"/>
    <w:rsid w:val="0FD66A3B"/>
    <w:rsid w:val="0FF1AB25"/>
    <w:rsid w:val="0FFC5802"/>
    <w:rsid w:val="10141182"/>
    <w:rsid w:val="10156893"/>
    <w:rsid w:val="106A0DA2"/>
    <w:rsid w:val="10C34956"/>
    <w:rsid w:val="10F04E46"/>
    <w:rsid w:val="10FD7410"/>
    <w:rsid w:val="11034D52"/>
    <w:rsid w:val="11050ACA"/>
    <w:rsid w:val="110A77C2"/>
    <w:rsid w:val="1128513A"/>
    <w:rsid w:val="113E5D8A"/>
    <w:rsid w:val="11EC3A38"/>
    <w:rsid w:val="12105979"/>
    <w:rsid w:val="12162CE3"/>
    <w:rsid w:val="12386C7D"/>
    <w:rsid w:val="1262249C"/>
    <w:rsid w:val="1281338F"/>
    <w:rsid w:val="12B37438"/>
    <w:rsid w:val="12C0739F"/>
    <w:rsid w:val="12CD1ABC"/>
    <w:rsid w:val="12E0534B"/>
    <w:rsid w:val="12E110C3"/>
    <w:rsid w:val="12EF37E0"/>
    <w:rsid w:val="1300779B"/>
    <w:rsid w:val="132F62D2"/>
    <w:rsid w:val="13533D6F"/>
    <w:rsid w:val="13651FD7"/>
    <w:rsid w:val="136D54FB"/>
    <w:rsid w:val="13CC1D73"/>
    <w:rsid w:val="141A663B"/>
    <w:rsid w:val="1424570B"/>
    <w:rsid w:val="14386840"/>
    <w:rsid w:val="1457163D"/>
    <w:rsid w:val="148075AE"/>
    <w:rsid w:val="14D26F15"/>
    <w:rsid w:val="14F926F4"/>
    <w:rsid w:val="152359C3"/>
    <w:rsid w:val="152C2AC9"/>
    <w:rsid w:val="154C316C"/>
    <w:rsid w:val="15702134"/>
    <w:rsid w:val="15A563D8"/>
    <w:rsid w:val="166C5148"/>
    <w:rsid w:val="167E55A7"/>
    <w:rsid w:val="17493973"/>
    <w:rsid w:val="1763654B"/>
    <w:rsid w:val="177E634B"/>
    <w:rsid w:val="17800EAB"/>
    <w:rsid w:val="17A95617"/>
    <w:rsid w:val="17B2302E"/>
    <w:rsid w:val="17B9260F"/>
    <w:rsid w:val="17E23913"/>
    <w:rsid w:val="17F17FFA"/>
    <w:rsid w:val="181E359A"/>
    <w:rsid w:val="18371EB1"/>
    <w:rsid w:val="18A8690B"/>
    <w:rsid w:val="18E15979"/>
    <w:rsid w:val="18F71640"/>
    <w:rsid w:val="19444BC2"/>
    <w:rsid w:val="19630A84"/>
    <w:rsid w:val="19704F4F"/>
    <w:rsid w:val="19AD7F51"/>
    <w:rsid w:val="19BF6247"/>
    <w:rsid w:val="19D41982"/>
    <w:rsid w:val="19DF16C9"/>
    <w:rsid w:val="1A1A3838"/>
    <w:rsid w:val="1A2C356C"/>
    <w:rsid w:val="1A404921"/>
    <w:rsid w:val="1A765C58"/>
    <w:rsid w:val="1A7A6085"/>
    <w:rsid w:val="1AB05F4B"/>
    <w:rsid w:val="1AD41657"/>
    <w:rsid w:val="1ADC6D40"/>
    <w:rsid w:val="1B34092A"/>
    <w:rsid w:val="1B486183"/>
    <w:rsid w:val="1B4A38B5"/>
    <w:rsid w:val="1B5C3B9F"/>
    <w:rsid w:val="1B830D6F"/>
    <w:rsid w:val="1B8D003A"/>
    <w:rsid w:val="1C0C5403"/>
    <w:rsid w:val="1C1D13BE"/>
    <w:rsid w:val="1C24719B"/>
    <w:rsid w:val="1C470054"/>
    <w:rsid w:val="1C7F7983"/>
    <w:rsid w:val="1CA078F9"/>
    <w:rsid w:val="1CA54113"/>
    <w:rsid w:val="1CAC629E"/>
    <w:rsid w:val="1D0C4F8F"/>
    <w:rsid w:val="1D0C5058"/>
    <w:rsid w:val="1D570900"/>
    <w:rsid w:val="1DA84CB7"/>
    <w:rsid w:val="1DCA7545"/>
    <w:rsid w:val="1E6C03DB"/>
    <w:rsid w:val="1ED16490"/>
    <w:rsid w:val="1F6F0182"/>
    <w:rsid w:val="1F7F9943"/>
    <w:rsid w:val="1F861028"/>
    <w:rsid w:val="1F8C3FD1"/>
    <w:rsid w:val="1FE2318E"/>
    <w:rsid w:val="1FFF72A8"/>
    <w:rsid w:val="20256A93"/>
    <w:rsid w:val="203521EF"/>
    <w:rsid w:val="204333BD"/>
    <w:rsid w:val="205729C5"/>
    <w:rsid w:val="207F634B"/>
    <w:rsid w:val="20881525"/>
    <w:rsid w:val="213056EF"/>
    <w:rsid w:val="21617F9F"/>
    <w:rsid w:val="21BA7A65"/>
    <w:rsid w:val="21C127EB"/>
    <w:rsid w:val="21F91F85"/>
    <w:rsid w:val="225C69B9"/>
    <w:rsid w:val="226B1EC9"/>
    <w:rsid w:val="22DD18A7"/>
    <w:rsid w:val="22EC0514"/>
    <w:rsid w:val="22F303EF"/>
    <w:rsid w:val="22F56BF1"/>
    <w:rsid w:val="22FB1D2D"/>
    <w:rsid w:val="231921B3"/>
    <w:rsid w:val="237815D0"/>
    <w:rsid w:val="240C3A97"/>
    <w:rsid w:val="24253506"/>
    <w:rsid w:val="24412AAC"/>
    <w:rsid w:val="244E1F2B"/>
    <w:rsid w:val="2488416A"/>
    <w:rsid w:val="2492221D"/>
    <w:rsid w:val="249B49DE"/>
    <w:rsid w:val="24A00DDE"/>
    <w:rsid w:val="24B77ED6"/>
    <w:rsid w:val="24BB646F"/>
    <w:rsid w:val="24BB79C6"/>
    <w:rsid w:val="24D622CC"/>
    <w:rsid w:val="25777D91"/>
    <w:rsid w:val="25B763DF"/>
    <w:rsid w:val="260A164B"/>
    <w:rsid w:val="26543C2E"/>
    <w:rsid w:val="26976211"/>
    <w:rsid w:val="26B56FF9"/>
    <w:rsid w:val="272D447F"/>
    <w:rsid w:val="276F4A98"/>
    <w:rsid w:val="27983C83"/>
    <w:rsid w:val="27AC1848"/>
    <w:rsid w:val="27C43035"/>
    <w:rsid w:val="27C668BE"/>
    <w:rsid w:val="27D634ED"/>
    <w:rsid w:val="27DD40F7"/>
    <w:rsid w:val="27DD7C53"/>
    <w:rsid w:val="27E823ED"/>
    <w:rsid w:val="284D4E05"/>
    <w:rsid w:val="2889668D"/>
    <w:rsid w:val="29253660"/>
    <w:rsid w:val="293E4722"/>
    <w:rsid w:val="297168A5"/>
    <w:rsid w:val="29954B6B"/>
    <w:rsid w:val="29A924E3"/>
    <w:rsid w:val="29B80978"/>
    <w:rsid w:val="29FF0355"/>
    <w:rsid w:val="2A5C57A7"/>
    <w:rsid w:val="2A6E7289"/>
    <w:rsid w:val="2A720B27"/>
    <w:rsid w:val="2A8D3BB3"/>
    <w:rsid w:val="2A915F2E"/>
    <w:rsid w:val="2A935068"/>
    <w:rsid w:val="2A943D8F"/>
    <w:rsid w:val="2AC33130"/>
    <w:rsid w:val="2B24619F"/>
    <w:rsid w:val="2B2F07C6"/>
    <w:rsid w:val="2B5037FA"/>
    <w:rsid w:val="2BB5216A"/>
    <w:rsid w:val="2BF37A45"/>
    <w:rsid w:val="2C027C88"/>
    <w:rsid w:val="2C043A01"/>
    <w:rsid w:val="2C4958B7"/>
    <w:rsid w:val="2C817547"/>
    <w:rsid w:val="2CAA597C"/>
    <w:rsid w:val="2CE83322"/>
    <w:rsid w:val="2D3227EF"/>
    <w:rsid w:val="2D51022A"/>
    <w:rsid w:val="2D597D7C"/>
    <w:rsid w:val="2D5F7AEE"/>
    <w:rsid w:val="2D6F302D"/>
    <w:rsid w:val="2D7B4196"/>
    <w:rsid w:val="2D9B2143"/>
    <w:rsid w:val="2DCD0BD5"/>
    <w:rsid w:val="2DF53F49"/>
    <w:rsid w:val="2DFE8AD3"/>
    <w:rsid w:val="2E286FD8"/>
    <w:rsid w:val="2E84707B"/>
    <w:rsid w:val="2E8B665B"/>
    <w:rsid w:val="2EBE20BF"/>
    <w:rsid w:val="2ECE14CB"/>
    <w:rsid w:val="2EEDCD28"/>
    <w:rsid w:val="2F3E386C"/>
    <w:rsid w:val="2F8135BA"/>
    <w:rsid w:val="2F9432ED"/>
    <w:rsid w:val="2FAD43AF"/>
    <w:rsid w:val="2FB219C5"/>
    <w:rsid w:val="2FCF49F0"/>
    <w:rsid w:val="300A35B0"/>
    <w:rsid w:val="3023122B"/>
    <w:rsid w:val="30450A8C"/>
    <w:rsid w:val="30744ECD"/>
    <w:rsid w:val="30B11C7D"/>
    <w:rsid w:val="30B5176D"/>
    <w:rsid w:val="30DD6F16"/>
    <w:rsid w:val="31010E56"/>
    <w:rsid w:val="310E5321"/>
    <w:rsid w:val="31200CA6"/>
    <w:rsid w:val="31383DEF"/>
    <w:rsid w:val="31552F50"/>
    <w:rsid w:val="3166233E"/>
    <w:rsid w:val="31831FE9"/>
    <w:rsid w:val="31BE6E53"/>
    <w:rsid w:val="31C3610C"/>
    <w:rsid w:val="31C54AA9"/>
    <w:rsid w:val="320054DE"/>
    <w:rsid w:val="320504D2"/>
    <w:rsid w:val="321626E0"/>
    <w:rsid w:val="32236BAB"/>
    <w:rsid w:val="32333292"/>
    <w:rsid w:val="324A2389"/>
    <w:rsid w:val="32566F80"/>
    <w:rsid w:val="32686297"/>
    <w:rsid w:val="327C1CF1"/>
    <w:rsid w:val="3284589B"/>
    <w:rsid w:val="32943604"/>
    <w:rsid w:val="32B605BF"/>
    <w:rsid w:val="32CC2D9E"/>
    <w:rsid w:val="330A014E"/>
    <w:rsid w:val="33353039"/>
    <w:rsid w:val="335415C2"/>
    <w:rsid w:val="337A81AF"/>
    <w:rsid w:val="33A04965"/>
    <w:rsid w:val="33B51A84"/>
    <w:rsid w:val="33B57CD6"/>
    <w:rsid w:val="33FFB406"/>
    <w:rsid w:val="346A0AC1"/>
    <w:rsid w:val="34CC177B"/>
    <w:rsid w:val="34E00D83"/>
    <w:rsid w:val="350B042E"/>
    <w:rsid w:val="35610116"/>
    <w:rsid w:val="35683252"/>
    <w:rsid w:val="357E7421"/>
    <w:rsid w:val="358F7856"/>
    <w:rsid w:val="35BC534C"/>
    <w:rsid w:val="35BE2E72"/>
    <w:rsid w:val="35F25212"/>
    <w:rsid w:val="361433DA"/>
    <w:rsid w:val="363C023B"/>
    <w:rsid w:val="36527A5E"/>
    <w:rsid w:val="36767BF1"/>
    <w:rsid w:val="36851BE2"/>
    <w:rsid w:val="368D0A96"/>
    <w:rsid w:val="36D6068F"/>
    <w:rsid w:val="36D87F64"/>
    <w:rsid w:val="36DF5796"/>
    <w:rsid w:val="372E04CB"/>
    <w:rsid w:val="37531DA2"/>
    <w:rsid w:val="376A907D"/>
    <w:rsid w:val="377A726D"/>
    <w:rsid w:val="37AB035E"/>
    <w:rsid w:val="37B25189"/>
    <w:rsid w:val="37CB5D1A"/>
    <w:rsid w:val="37FCDAE2"/>
    <w:rsid w:val="37FD2598"/>
    <w:rsid w:val="38196915"/>
    <w:rsid w:val="385201EA"/>
    <w:rsid w:val="38637D01"/>
    <w:rsid w:val="38AE1432"/>
    <w:rsid w:val="38EDBE14"/>
    <w:rsid w:val="392B4CC2"/>
    <w:rsid w:val="39385E8A"/>
    <w:rsid w:val="3958D413"/>
    <w:rsid w:val="3963654E"/>
    <w:rsid w:val="397B72CC"/>
    <w:rsid w:val="39924D42"/>
    <w:rsid w:val="3A5B3385"/>
    <w:rsid w:val="3A98686D"/>
    <w:rsid w:val="3AAC1E33"/>
    <w:rsid w:val="3AE61644"/>
    <w:rsid w:val="3AFA0DF0"/>
    <w:rsid w:val="3AFB5D77"/>
    <w:rsid w:val="3B031FCA"/>
    <w:rsid w:val="3B2D33DE"/>
    <w:rsid w:val="3B4E6A46"/>
    <w:rsid w:val="3B5B2B56"/>
    <w:rsid w:val="3BB5459C"/>
    <w:rsid w:val="3BCF8592"/>
    <w:rsid w:val="3BFF7DB1"/>
    <w:rsid w:val="3C300842"/>
    <w:rsid w:val="3C5010CB"/>
    <w:rsid w:val="3C5502A8"/>
    <w:rsid w:val="3CF7310E"/>
    <w:rsid w:val="3D2F28A7"/>
    <w:rsid w:val="3D3B124C"/>
    <w:rsid w:val="3D3E0D3C"/>
    <w:rsid w:val="3D4CF9F8"/>
    <w:rsid w:val="3D720FB4"/>
    <w:rsid w:val="3D7F382F"/>
    <w:rsid w:val="3DAE5D24"/>
    <w:rsid w:val="3DC56172"/>
    <w:rsid w:val="3E0B6E71"/>
    <w:rsid w:val="3E38578C"/>
    <w:rsid w:val="3E5B27A0"/>
    <w:rsid w:val="3EEF54F3"/>
    <w:rsid w:val="3EFBA74B"/>
    <w:rsid w:val="3F0E6B28"/>
    <w:rsid w:val="3F3423F7"/>
    <w:rsid w:val="3F8954F2"/>
    <w:rsid w:val="3F9335C1"/>
    <w:rsid w:val="3FDFC519"/>
    <w:rsid w:val="3FF52910"/>
    <w:rsid w:val="3FF6DB7D"/>
    <w:rsid w:val="40302BBE"/>
    <w:rsid w:val="40720BA9"/>
    <w:rsid w:val="407A208B"/>
    <w:rsid w:val="4094179B"/>
    <w:rsid w:val="409969B6"/>
    <w:rsid w:val="40E5653B"/>
    <w:rsid w:val="411918A4"/>
    <w:rsid w:val="41600431"/>
    <w:rsid w:val="4165231B"/>
    <w:rsid w:val="41FF24A4"/>
    <w:rsid w:val="420C765B"/>
    <w:rsid w:val="4210424C"/>
    <w:rsid w:val="42213106"/>
    <w:rsid w:val="423544BC"/>
    <w:rsid w:val="42786A9F"/>
    <w:rsid w:val="42983BC3"/>
    <w:rsid w:val="430D368B"/>
    <w:rsid w:val="43607C5E"/>
    <w:rsid w:val="436D5ED7"/>
    <w:rsid w:val="43C72682"/>
    <w:rsid w:val="43EA39CC"/>
    <w:rsid w:val="43F263DD"/>
    <w:rsid w:val="44004F9E"/>
    <w:rsid w:val="442073EE"/>
    <w:rsid w:val="44222311"/>
    <w:rsid w:val="44226CC2"/>
    <w:rsid w:val="44287660"/>
    <w:rsid w:val="44501A81"/>
    <w:rsid w:val="44B30262"/>
    <w:rsid w:val="44D87790"/>
    <w:rsid w:val="455235D7"/>
    <w:rsid w:val="45A2455E"/>
    <w:rsid w:val="45C855CA"/>
    <w:rsid w:val="461160DF"/>
    <w:rsid w:val="466E4440"/>
    <w:rsid w:val="46827EEC"/>
    <w:rsid w:val="46F5024A"/>
    <w:rsid w:val="46FA5CD4"/>
    <w:rsid w:val="474606F2"/>
    <w:rsid w:val="477E06B3"/>
    <w:rsid w:val="478F1C2E"/>
    <w:rsid w:val="479F64AF"/>
    <w:rsid w:val="47C06F1E"/>
    <w:rsid w:val="47E32C0C"/>
    <w:rsid w:val="47F00E85"/>
    <w:rsid w:val="47FB1D04"/>
    <w:rsid w:val="48931C1D"/>
    <w:rsid w:val="489F7F49"/>
    <w:rsid w:val="48C12F4D"/>
    <w:rsid w:val="48C412D6"/>
    <w:rsid w:val="48EB621C"/>
    <w:rsid w:val="4900334A"/>
    <w:rsid w:val="490C1CEF"/>
    <w:rsid w:val="49400F3D"/>
    <w:rsid w:val="495F2766"/>
    <w:rsid w:val="498521CD"/>
    <w:rsid w:val="498875C7"/>
    <w:rsid w:val="49C10D2B"/>
    <w:rsid w:val="49E87801"/>
    <w:rsid w:val="4A126315"/>
    <w:rsid w:val="4A3414FD"/>
    <w:rsid w:val="4A582E15"/>
    <w:rsid w:val="4A655B5A"/>
    <w:rsid w:val="4B02027B"/>
    <w:rsid w:val="4B125CE2"/>
    <w:rsid w:val="4B2652EA"/>
    <w:rsid w:val="4B68350E"/>
    <w:rsid w:val="4B9364EB"/>
    <w:rsid w:val="4B9506C1"/>
    <w:rsid w:val="4BCB5E91"/>
    <w:rsid w:val="4C0B2731"/>
    <w:rsid w:val="4C164DF6"/>
    <w:rsid w:val="4C2D42BC"/>
    <w:rsid w:val="4C4D68A6"/>
    <w:rsid w:val="4CEC2563"/>
    <w:rsid w:val="4D023B34"/>
    <w:rsid w:val="4D0D77FD"/>
    <w:rsid w:val="4D1B4BF6"/>
    <w:rsid w:val="4D4B54DB"/>
    <w:rsid w:val="4D6C0FAE"/>
    <w:rsid w:val="4D73233C"/>
    <w:rsid w:val="4D8E20DE"/>
    <w:rsid w:val="4DE75DBC"/>
    <w:rsid w:val="4DFF10AB"/>
    <w:rsid w:val="4F132029"/>
    <w:rsid w:val="4F343D4D"/>
    <w:rsid w:val="4F443F90"/>
    <w:rsid w:val="4F4F3AEE"/>
    <w:rsid w:val="4F5A3D3D"/>
    <w:rsid w:val="4F690E9F"/>
    <w:rsid w:val="4F950C90"/>
    <w:rsid w:val="4FDD93C7"/>
    <w:rsid w:val="4FFD4A59"/>
    <w:rsid w:val="50574197"/>
    <w:rsid w:val="50AA42C7"/>
    <w:rsid w:val="50B909AE"/>
    <w:rsid w:val="50C53BB8"/>
    <w:rsid w:val="50E35A2B"/>
    <w:rsid w:val="50EF617E"/>
    <w:rsid w:val="50F70D9C"/>
    <w:rsid w:val="51085492"/>
    <w:rsid w:val="51346287"/>
    <w:rsid w:val="515D3A2F"/>
    <w:rsid w:val="517174DB"/>
    <w:rsid w:val="51A053AF"/>
    <w:rsid w:val="51AC0513"/>
    <w:rsid w:val="51E101BC"/>
    <w:rsid w:val="51E63A25"/>
    <w:rsid w:val="51FA74D0"/>
    <w:rsid w:val="520774F7"/>
    <w:rsid w:val="52086FB4"/>
    <w:rsid w:val="521D4F6D"/>
    <w:rsid w:val="52432C25"/>
    <w:rsid w:val="527032EE"/>
    <w:rsid w:val="52706D8F"/>
    <w:rsid w:val="527C7EE5"/>
    <w:rsid w:val="52B2051B"/>
    <w:rsid w:val="53316F22"/>
    <w:rsid w:val="53362B1E"/>
    <w:rsid w:val="537F7C8D"/>
    <w:rsid w:val="5386726D"/>
    <w:rsid w:val="53B10062"/>
    <w:rsid w:val="53BA2E6A"/>
    <w:rsid w:val="53E126F6"/>
    <w:rsid w:val="53E40980"/>
    <w:rsid w:val="53F65A75"/>
    <w:rsid w:val="543F45CB"/>
    <w:rsid w:val="549D6CE0"/>
    <w:rsid w:val="54AD6A7C"/>
    <w:rsid w:val="54B0031A"/>
    <w:rsid w:val="54ED1C4A"/>
    <w:rsid w:val="54F72DDC"/>
    <w:rsid w:val="5523289A"/>
    <w:rsid w:val="5568443C"/>
    <w:rsid w:val="558A0FF9"/>
    <w:rsid w:val="55BFF13D"/>
    <w:rsid w:val="56077881"/>
    <w:rsid w:val="563D3E2F"/>
    <w:rsid w:val="56700341"/>
    <w:rsid w:val="56847368"/>
    <w:rsid w:val="57250B4B"/>
    <w:rsid w:val="572B0FCF"/>
    <w:rsid w:val="573F2946"/>
    <w:rsid w:val="574B0E81"/>
    <w:rsid w:val="57723665"/>
    <w:rsid w:val="577B8F7F"/>
    <w:rsid w:val="57B95132"/>
    <w:rsid w:val="57D165DD"/>
    <w:rsid w:val="57E30C41"/>
    <w:rsid w:val="58354DBE"/>
    <w:rsid w:val="58523BC2"/>
    <w:rsid w:val="58CE6FC1"/>
    <w:rsid w:val="58FA6008"/>
    <w:rsid w:val="593212FE"/>
    <w:rsid w:val="59527BF2"/>
    <w:rsid w:val="597E2795"/>
    <w:rsid w:val="59C57D92"/>
    <w:rsid w:val="5A04713E"/>
    <w:rsid w:val="5A166E71"/>
    <w:rsid w:val="5A1B4BD1"/>
    <w:rsid w:val="5A255C83"/>
    <w:rsid w:val="5A4C176F"/>
    <w:rsid w:val="5B172EA1"/>
    <w:rsid w:val="5B2353A2"/>
    <w:rsid w:val="5B841BB9"/>
    <w:rsid w:val="5BA26C0E"/>
    <w:rsid w:val="5BFA7B13"/>
    <w:rsid w:val="5C13753E"/>
    <w:rsid w:val="5C1B30EF"/>
    <w:rsid w:val="5C237623"/>
    <w:rsid w:val="5C503002"/>
    <w:rsid w:val="5CDC1AF5"/>
    <w:rsid w:val="5D3E4715"/>
    <w:rsid w:val="5D577585"/>
    <w:rsid w:val="5D5FCF47"/>
    <w:rsid w:val="5D850596"/>
    <w:rsid w:val="5E135BA1"/>
    <w:rsid w:val="5E27164D"/>
    <w:rsid w:val="5E2E29DB"/>
    <w:rsid w:val="5E3D2C1E"/>
    <w:rsid w:val="5E604C26"/>
    <w:rsid w:val="5E6F724E"/>
    <w:rsid w:val="5EB153BA"/>
    <w:rsid w:val="5EE5030F"/>
    <w:rsid w:val="5F2E2567"/>
    <w:rsid w:val="5F4F24EC"/>
    <w:rsid w:val="5F672C37"/>
    <w:rsid w:val="5F6FD220"/>
    <w:rsid w:val="5F7553E2"/>
    <w:rsid w:val="5F7EC896"/>
    <w:rsid w:val="5F8A1E93"/>
    <w:rsid w:val="5F926F9A"/>
    <w:rsid w:val="5F942D12"/>
    <w:rsid w:val="5FD77DF4"/>
    <w:rsid w:val="5FDE5D3B"/>
    <w:rsid w:val="5FE86BBA"/>
    <w:rsid w:val="6008725C"/>
    <w:rsid w:val="60116111"/>
    <w:rsid w:val="602C431A"/>
    <w:rsid w:val="6057789C"/>
    <w:rsid w:val="60806DF2"/>
    <w:rsid w:val="60966616"/>
    <w:rsid w:val="60CF74DD"/>
    <w:rsid w:val="60EC6236"/>
    <w:rsid w:val="6129748A"/>
    <w:rsid w:val="61333E65"/>
    <w:rsid w:val="615D5386"/>
    <w:rsid w:val="616D381B"/>
    <w:rsid w:val="61CE1DDF"/>
    <w:rsid w:val="61E41603"/>
    <w:rsid w:val="624125B1"/>
    <w:rsid w:val="62606EDB"/>
    <w:rsid w:val="63071A4D"/>
    <w:rsid w:val="631D6B7A"/>
    <w:rsid w:val="63251ED3"/>
    <w:rsid w:val="633B5253"/>
    <w:rsid w:val="638210D3"/>
    <w:rsid w:val="63AB4D7E"/>
    <w:rsid w:val="63E121CC"/>
    <w:rsid w:val="64405216"/>
    <w:rsid w:val="64722EF6"/>
    <w:rsid w:val="64790728"/>
    <w:rsid w:val="647A1DAB"/>
    <w:rsid w:val="64A21A2D"/>
    <w:rsid w:val="64A84855"/>
    <w:rsid w:val="64AC6408"/>
    <w:rsid w:val="64D63485"/>
    <w:rsid w:val="64E9779D"/>
    <w:rsid w:val="64F61D79"/>
    <w:rsid w:val="64FE29DC"/>
    <w:rsid w:val="651346D9"/>
    <w:rsid w:val="652F7039"/>
    <w:rsid w:val="65921AA2"/>
    <w:rsid w:val="65A76BCF"/>
    <w:rsid w:val="660109D5"/>
    <w:rsid w:val="665119B3"/>
    <w:rsid w:val="668E2574"/>
    <w:rsid w:val="66976C44"/>
    <w:rsid w:val="66A23F66"/>
    <w:rsid w:val="66C57C55"/>
    <w:rsid w:val="6773145F"/>
    <w:rsid w:val="677D22B5"/>
    <w:rsid w:val="67B6759E"/>
    <w:rsid w:val="67F7726C"/>
    <w:rsid w:val="680C36FA"/>
    <w:rsid w:val="681B1F45"/>
    <w:rsid w:val="683E7CBF"/>
    <w:rsid w:val="6865349E"/>
    <w:rsid w:val="68815DFE"/>
    <w:rsid w:val="68A5389A"/>
    <w:rsid w:val="68AA6F4E"/>
    <w:rsid w:val="68B25FB7"/>
    <w:rsid w:val="69690D6B"/>
    <w:rsid w:val="696E178E"/>
    <w:rsid w:val="697A06A8"/>
    <w:rsid w:val="699F29DF"/>
    <w:rsid w:val="69A16971"/>
    <w:rsid w:val="69BE4592"/>
    <w:rsid w:val="6A075A18"/>
    <w:rsid w:val="6A0E1913"/>
    <w:rsid w:val="6A16222E"/>
    <w:rsid w:val="6A413A96"/>
    <w:rsid w:val="6A427C3D"/>
    <w:rsid w:val="6A701C86"/>
    <w:rsid w:val="6A89565C"/>
    <w:rsid w:val="6AA47B81"/>
    <w:rsid w:val="6AB5424C"/>
    <w:rsid w:val="6AF44F46"/>
    <w:rsid w:val="6AFE3735"/>
    <w:rsid w:val="6B106FC5"/>
    <w:rsid w:val="6B19231D"/>
    <w:rsid w:val="6B361121"/>
    <w:rsid w:val="6B811C71"/>
    <w:rsid w:val="6B8C0D41"/>
    <w:rsid w:val="6BDA5F51"/>
    <w:rsid w:val="6BF568E6"/>
    <w:rsid w:val="6C272818"/>
    <w:rsid w:val="6C3FEECD"/>
    <w:rsid w:val="6C4F4546"/>
    <w:rsid w:val="6C500390"/>
    <w:rsid w:val="6C847C6A"/>
    <w:rsid w:val="6CA5F983"/>
    <w:rsid w:val="6CF90658"/>
    <w:rsid w:val="6D3D76B7"/>
    <w:rsid w:val="6D5C5AB8"/>
    <w:rsid w:val="6D6F26C8"/>
    <w:rsid w:val="6D8A305E"/>
    <w:rsid w:val="6D8FD344"/>
    <w:rsid w:val="6DC256F1"/>
    <w:rsid w:val="6DC5678C"/>
    <w:rsid w:val="6DE363E8"/>
    <w:rsid w:val="6DEEF0A1"/>
    <w:rsid w:val="6DF332FA"/>
    <w:rsid w:val="6E0066B1"/>
    <w:rsid w:val="6E8E4DD0"/>
    <w:rsid w:val="6EAE0FCF"/>
    <w:rsid w:val="6EFC61DE"/>
    <w:rsid w:val="6F0D2199"/>
    <w:rsid w:val="6F0E6B0E"/>
    <w:rsid w:val="6F63672F"/>
    <w:rsid w:val="6F6D2C38"/>
    <w:rsid w:val="6F6E3439"/>
    <w:rsid w:val="6F733CCF"/>
    <w:rsid w:val="6F7A2D5C"/>
    <w:rsid w:val="6F905518"/>
    <w:rsid w:val="6F946416"/>
    <w:rsid w:val="6F9FE0E5"/>
    <w:rsid w:val="6FBB42EF"/>
    <w:rsid w:val="6FCFF188"/>
    <w:rsid w:val="6FDFCCC2"/>
    <w:rsid w:val="6FFBFF44"/>
    <w:rsid w:val="6FFF2DAF"/>
    <w:rsid w:val="70001CFE"/>
    <w:rsid w:val="70145E08"/>
    <w:rsid w:val="703E5095"/>
    <w:rsid w:val="70761FC0"/>
    <w:rsid w:val="70AB7EBB"/>
    <w:rsid w:val="71211CA2"/>
    <w:rsid w:val="712F289B"/>
    <w:rsid w:val="7161057A"/>
    <w:rsid w:val="71BB5EDC"/>
    <w:rsid w:val="71CA25C3"/>
    <w:rsid w:val="72822E9E"/>
    <w:rsid w:val="72A746B3"/>
    <w:rsid w:val="732C1214"/>
    <w:rsid w:val="73397A01"/>
    <w:rsid w:val="733E1F64"/>
    <w:rsid w:val="73B01345"/>
    <w:rsid w:val="73B3AB03"/>
    <w:rsid w:val="73EF4563"/>
    <w:rsid w:val="749844EA"/>
    <w:rsid w:val="74BF6C55"/>
    <w:rsid w:val="74E0413E"/>
    <w:rsid w:val="74E2672E"/>
    <w:rsid w:val="74EE3366"/>
    <w:rsid w:val="75091655"/>
    <w:rsid w:val="751D2A0A"/>
    <w:rsid w:val="751E2B9B"/>
    <w:rsid w:val="7535244A"/>
    <w:rsid w:val="75510906"/>
    <w:rsid w:val="75633B1F"/>
    <w:rsid w:val="756774F9"/>
    <w:rsid w:val="75693F8F"/>
    <w:rsid w:val="758F6426"/>
    <w:rsid w:val="75CA2B92"/>
    <w:rsid w:val="75DA5404"/>
    <w:rsid w:val="75F7A069"/>
    <w:rsid w:val="760342F6"/>
    <w:rsid w:val="76067942"/>
    <w:rsid w:val="76116A13"/>
    <w:rsid w:val="761E2EDE"/>
    <w:rsid w:val="762229CE"/>
    <w:rsid w:val="762D1373"/>
    <w:rsid w:val="768C42EB"/>
    <w:rsid w:val="76984A3E"/>
    <w:rsid w:val="77021BEA"/>
    <w:rsid w:val="770C0676"/>
    <w:rsid w:val="772E53A2"/>
    <w:rsid w:val="773F80A1"/>
    <w:rsid w:val="775B1CAC"/>
    <w:rsid w:val="77615C17"/>
    <w:rsid w:val="77BA6C36"/>
    <w:rsid w:val="77D221D2"/>
    <w:rsid w:val="77F66F55"/>
    <w:rsid w:val="781C2588"/>
    <w:rsid w:val="78232A2D"/>
    <w:rsid w:val="78713799"/>
    <w:rsid w:val="787A6A7A"/>
    <w:rsid w:val="787E5EB6"/>
    <w:rsid w:val="78915BE9"/>
    <w:rsid w:val="78D4194A"/>
    <w:rsid w:val="78DD0E2E"/>
    <w:rsid w:val="795F5CE7"/>
    <w:rsid w:val="797846B3"/>
    <w:rsid w:val="79F9D88C"/>
    <w:rsid w:val="7A41719B"/>
    <w:rsid w:val="7A546ECE"/>
    <w:rsid w:val="7B041F22"/>
    <w:rsid w:val="7B316901"/>
    <w:rsid w:val="7B713AB0"/>
    <w:rsid w:val="7BB120FE"/>
    <w:rsid w:val="7BD209F2"/>
    <w:rsid w:val="7BF7981F"/>
    <w:rsid w:val="7BFF343B"/>
    <w:rsid w:val="7C077F70"/>
    <w:rsid w:val="7C2208B5"/>
    <w:rsid w:val="7C39281F"/>
    <w:rsid w:val="7C480CB4"/>
    <w:rsid w:val="7C5238E1"/>
    <w:rsid w:val="7C783B28"/>
    <w:rsid w:val="7C920181"/>
    <w:rsid w:val="7CBF56EB"/>
    <w:rsid w:val="7CEED1EC"/>
    <w:rsid w:val="7CFCED7B"/>
    <w:rsid w:val="7D221505"/>
    <w:rsid w:val="7D407BDD"/>
    <w:rsid w:val="7D425312"/>
    <w:rsid w:val="7D7B016B"/>
    <w:rsid w:val="7D7B0F3C"/>
    <w:rsid w:val="7DBB3BFD"/>
    <w:rsid w:val="7DFF30FD"/>
    <w:rsid w:val="7E490006"/>
    <w:rsid w:val="7E9E2E0E"/>
    <w:rsid w:val="7EAFB291"/>
    <w:rsid w:val="7EEEC5FC"/>
    <w:rsid w:val="7EEFF6D1"/>
    <w:rsid w:val="7EFAD9F4"/>
    <w:rsid w:val="7EFB664B"/>
    <w:rsid w:val="7EFD9C86"/>
    <w:rsid w:val="7EFECCF3"/>
    <w:rsid w:val="7EFF934C"/>
    <w:rsid w:val="7F2D4F49"/>
    <w:rsid w:val="7F7818B1"/>
    <w:rsid w:val="7F9F508F"/>
    <w:rsid w:val="7FA7526D"/>
    <w:rsid w:val="7FB8B73A"/>
    <w:rsid w:val="7FBD9173"/>
    <w:rsid w:val="7FBFD756"/>
    <w:rsid w:val="7FBFFD9D"/>
    <w:rsid w:val="7FCDEA8A"/>
    <w:rsid w:val="7FF6256C"/>
    <w:rsid w:val="7FFF78DC"/>
    <w:rsid w:val="7FFFF97B"/>
    <w:rsid w:val="8F71BD6A"/>
    <w:rsid w:val="98F12863"/>
    <w:rsid w:val="99B9C357"/>
    <w:rsid w:val="9EADCF21"/>
    <w:rsid w:val="9FAB3500"/>
    <w:rsid w:val="A35D0B8A"/>
    <w:rsid w:val="ABBD7929"/>
    <w:rsid w:val="ACCAD7FF"/>
    <w:rsid w:val="AD1F7683"/>
    <w:rsid w:val="AEF7BBCD"/>
    <w:rsid w:val="AFB8F310"/>
    <w:rsid w:val="AFBB5D26"/>
    <w:rsid w:val="B71FE5F3"/>
    <w:rsid w:val="B77ACC12"/>
    <w:rsid w:val="B7BEB0F9"/>
    <w:rsid w:val="B7FCB81D"/>
    <w:rsid w:val="BA699039"/>
    <w:rsid w:val="BBFBDE55"/>
    <w:rsid w:val="BCEF402A"/>
    <w:rsid w:val="BECBB678"/>
    <w:rsid w:val="BEDFB250"/>
    <w:rsid w:val="BFAF8A31"/>
    <w:rsid w:val="BFED873C"/>
    <w:rsid w:val="BFFB53B1"/>
    <w:rsid w:val="CAB65EA5"/>
    <w:rsid w:val="CDDF69EB"/>
    <w:rsid w:val="CEDB0D3A"/>
    <w:rsid w:val="CEDF5713"/>
    <w:rsid w:val="D5E7A5BA"/>
    <w:rsid w:val="D6FF8F89"/>
    <w:rsid w:val="DBD9CBB8"/>
    <w:rsid w:val="DBFAD01B"/>
    <w:rsid w:val="DBFAF2A3"/>
    <w:rsid w:val="DDDB7747"/>
    <w:rsid w:val="DDFF1B49"/>
    <w:rsid w:val="DFDBB5F3"/>
    <w:rsid w:val="DFDF5377"/>
    <w:rsid w:val="DFEC132F"/>
    <w:rsid w:val="DFFEB0DE"/>
    <w:rsid w:val="E8BF7114"/>
    <w:rsid w:val="E8F72021"/>
    <w:rsid w:val="E9FE3063"/>
    <w:rsid w:val="EB4B1F4B"/>
    <w:rsid w:val="EBDC7AAF"/>
    <w:rsid w:val="ED677210"/>
    <w:rsid w:val="ED7F9BBD"/>
    <w:rsid w:val="EDF11C64"/>
    <w:rsid w:val="EF3F63BC"/>
    <w:rsid w:val="EF77EC63"/>
    <w:rsid w:val="EF863E86"/>
    <w:rsid w:val="EFFB8131"/>
    <w:rsid w:val="EFFFAE2E"/>
    <w:rsid w:val="F55FF395"/>
    <w:rsid w:val="F57F1619"/>
    <w:rsid w:val="F6EFC270"/>
    <w:rsid w:val="F7EDC838"/>
    <w:rsid w:val="F7EF38E3"/>
    <w:rsid w:val="F7EF902E"/>
    <w:rsid w:val="F7FFD841"/>
    <w:rsid w:val="F7FFFAE1"/>
    <w:rsid w:val="F9CFE8BF"/>
    <w:rsid w:val="FA7F0899"/>
    <w:rsid w:val="FAAF9505"/>
    <w:rsid w:val="FADE049B"/>
    <w:rsid w:val="FB3E2D2D"/>
    <w:rsid w:val="FB8D2D50"/>
    <w:rsid w:val="FBFF463B"/>
    <w:rsid w:val="FCEB9358"/>
    <w:rsid w:val="FD3FF441"/>
    <w:rsid w:val="FD68C4C3"/>
    <w:rsid w:val="FD6F3935"/>
    <w:rsid w:val="FDFB2C2F"/>
    <w:rsid w:val="FDFBACC6"/>
    <w:rsid w:val="FDFFB06D"/>
    <w:rsid w:val="FE53E6E5"/>
    <w:rsid w:val="FEBF1386"/>
    <w:rsid w:val="FEE7D7B2"/>
    <w:rsid w:val="FEFF2FA0"/>
    <w:rsid w:val="FF1397A8"/>
    <w:rsid w:val="FF6DCEC8"/>
    <w:rsid w:val="FF7F916C"/>
    <w:rsid w:val="FF9E0BF4"/>
    <w:rsid w:val="FFBB08A6"/>
    <w:rsid w:val="FFBFF4AC"/>
    <w:rsid w:val="FFC3BAD3"/>
    <w:rsid w:val="FFE326C3"/>
    <w:rsid w:val="FFECC246"/>
    <w:rsid w:val="FFF7AA1F"/>
    <w:rsid w:val="FFFD5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宋体"/>
      <w:kern w:val="2"/>
      <w:sz w:val="21"/>
      <w:szCs w:val="22"/>
      <w:lang w:val="en-US" w:eastAsia="zh-CN" w:bidi="ar-SA"/>
      <w14:ligatures w14:val="standardContextual"/>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正文 A"/>
    <w:qFormat/>
    <w:uiPriority w:val="0"/>
    <w:pPr>
      <w:widowControl w:val="0"/>
      <w:suppressAutoHyphens/>
      <w:jc w:val="both"/>
    </w:pPr>
    <w:rPr>
      <w:rFonts w:ascii="Calibri" w:hAnsi="Calibri" w:eastAsia="Arial Unicode MS" w:cs="Arial Unicode MS"/>
      <w:color w:val="000000"/>
      <w:kern w:val="2"/>
      <w:sz w:val="21"/>
      <w:szCs w:val="21"/>
      <w:u w:color="000000"/>
      <w:lang w:val="en-US" w:eastAsia="zh-CN" w:bidi="ar-SA"/>
    </w:rPr>
  </w:style>
  <w:style w:type="paragraph" w:customStyle="1" w:styleId="11">
    <w:name w:val="公文正文"/>
    <w:basedOn w:val="12"/>
    <w:qFormat/>
    <w:uiPriority w:val="0"/>
    <w:pPr>
      <w:numPr>
        <w:numId w:val="0"/>
      </w:numPr>
      <w:ind w:firstLine="674" w:firstLineChars="200"/>
      <w:outlineLvl w:val="9"/>
    </w:pPr>
  </w:style>
  <w:style w:type="paragraph" w:customStyle="1" w:styleId="12">
    <w:name w:val="条样式"/>
    <w:basedOn w:val="1"/>
    <w:qFormat/>
    <w:uiPriority w:val="0"/>
    <w:pPr>
      <w:numPr>
        <w:ilvl w:val="0"/>
        <w:numId w:val="1"/>
      </w:numPr>
      <w:spacing w:line="560" w:lineRule="exact"/>
      <w:outlineLvl w:val="1"/>
    </w:pPr>
    <w:rPr>
      <w:rFonts w:ascii="仿宋_GB2312" w:eastAsia="仿宋_GB2312"/>
      <w:sz w:val="32"/>
      <w:szCs w:val="32"/>
    </w:rPr>
  </w:style>
  <w:style w:type="paragraph" w:customStyle="1" w:styleId="13">
    <w:name w:val="章样式"/>
    <w:basedOn w:val="14"/>
    <w:qFormat/>
    <w:uiPriority w:val="0"/>
    <w:pPr>
      <w:numPr>
        <w:ilvl w:val="0"/>
        <w:numId w:val="2"/>
      </w:numPr>
      <w:spacing w:after="0" w:line="560" w:lineRule="exact"/>
      <w:ind w:firstLine="0" w:firstLineChars="0"/>
      <w:jc w:val="center"/>
      <w:outlineLvl w:val="0"/>
    </w:pPr>
    <w:rPr>
      <w:rFonts w:ascii="黑体" w:hAnsi="黑体" w:eastAsia="黑体"/>
      <w:b/>
      <w:bCs/>
      <w:sz w:val="32"/>
      <w:szCs w:val="32"/>
    </w:rPr>
  </w:style>
  <w:style w:type="paragraph" w:styleId="14">
    <w:name w:val="List Paragraph"/>
    <w:basedOn w:val="1"/>
    <w:qFormat/>
    <w:uiPriority w:val="34"/>
    <w:pPr>
      <w:ind w:firstLine="420" w:firstLineChars="200"/>
    </w:pPr>
  </w:style>
  <w:style w:type="paragraph" w:customStyle="1" w:styleId="15">
    <w:name w:val="样式（二）"/>
    <w:basedOn w:val="16"/>
    <w:qFormat/>
    <w:uiPriority w:val="0"/>
  </w:style>
  <w:style w:type="paragraph" w:customStyle="1" w:styleId="16">
    <w:name w:val="（一）序号"/>
    <w:basedOn w:val="14"/>
    <w:qFormat/>
    <w:uiPriority w:val="0"/>
    <w:pPr>
      <w:numPr>
        <w:ilvl w:val="0"/>
        <w:numId w:val="3"/>
      </w:numPr>
      <w:spacing w:line="560" w:lineRule="exact"/>
      <w:ind w:firstLine="0" w:firstLineChars="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698769cd-2d68-4ee0-9ac5-f5e85b087262</errorID>
      <errorWord>》</errorWord>
      <group>L1_Word</group>
      <groupName>字词问题</groupName>
      <ability>L2_Typo</ability>
      <abilityName>字词错误</abilityName>
      <candidateList>
        <item>》等</item>
      </candidateList>
      <explain/>
      <paraID>721243B0</paraID>
      <start>158</start>
      <end>160</end>
      <status>modified</status>
      <modifiedWord>》等</modifiedWord>
      <trackRevisions>false</trackRevisions>
    </reviewItem>
    <reviewItem>
      <errorID>9c895594-9a1d-465a-b6a3-544c12ad76db</errorID>
      <errorWord>，</errorWord>
      <group>L1_Word</group>
      <groupName>字词问题</groupName>
      <ability>L2_Typo</ability>
      <abilityName>字词错误</abilityName>
      <candidateList>
        <item>，由</item>
      </candidateList>
      <explain/>
      <paraID>709DDEF1</paraID>
      <start>145</start>
      <end>146</end>
      <status>ignored</status>
      <modifiedWord/>
      <trackRevisions>false</trackRevisions>
    </reviewItem>
    <reviewItem>
      <errorID>d7d547bc-a741-4807-9aee-6ec96e13a7b3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4654417A</paraID>
      <start>18</start>
      <end>20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96f8ab-f0bf-4aed-aa64-5f9fa76794a0}">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644</Words>
  <Characters>644</Characters>
  <Lines>0</Lines>
  <Paragraphs>0</Paragraphs>
  <TotalTime>336</TotalTime>
  <ScaleCrop>false</ScaleCrop>
  <LinksUpToDate>false</LinksUpToDate>
  <CharactersWithSpaces>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2025-10-31T01:04:00Z</dcterms:created>
  <dc:creator>Chao</dc:creator>
  <cp:lastModifiedBy>富得刘油</cp:lastModifiedBy>
  <cp:lastPrinted>2026-03-02T07:08:00Z</cp:lastPrinted>
  <dcterms:modified xsi:type="dcterms:W3CDTF">2026-03-13T04:17:07Z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eyJoZGlkIjoiOTU5ZWJjMTQ5NWI1ZWQwMzNmYzAxYmFjYTcxZThhY2YiLCJ1c2VySWQiOiIyNDM5OTA1MzQifQ==</vt:lpwstr>
  </property>
  <property fmtid="{D5CDD505-2E9C-101B-9397-08002B2CF9AE}" pid="4" name="ICV">
    <vt:lpwstr>B965A5C4417C49DC9E5E834E262061F7_13</vt:lpwstr>
  </property>
</Properties>
</file>